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5F3E" w14:textId="6D2BB2B2" w:rsidR="00483A21" w:rsidRDefault="00483A21" w:rsidP="00483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9D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9400B8" wp14:editId="0B67C5A2">
            <wp:simplePos x="0" y="0"/>
            <wp:positionH relativeFrom="margin">
              <wp:posOffset>-30480</wp:posOffset>
            </wp:positionH>
            <wp:positionV relativeFrom="paragraph">
              <wp:posOffset>-388620</wp:posOffset>
            </wp:positionV>
            <wp:extent cx="1986280" cy="1234440"/>
            <wp:effectExtent l="0" t="0" r="0" b="3810"/>
            <wp:wrapNone/>
            <wp:docPr id="10" name="Kép 3" descr="\\192.168.1.3\aceeeo\aceeeo\2021\ACEEEO30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aceeeo\aceeeo\2021\ACEEEO30_sil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BB2E2" wp14:editId="0A172023">
            <wp:simplePos x="0" y="0"/>
            <wp:positionH relativeFrom="column">
              <wp:posOffset>4373880</wp:posOffset>
            </wp:positionH>
            <wp:positionV relativeFrom="paragraph">
              <wp:posOffset>-350520</wp:posOffset>
            </wp:positionV>
            <wp:extent cx="1303020" cy="13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1A03E" w14:textId="19DDE4C5" w:rsidR="00483A21" w:rsidRDefault="00483A21" w:rsidP="00483A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217F9" w14:textId="265FD55F" w:rsidR="00483A21" w:rsidRDefault="00483A21" w:rsidP="0048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E9089" w14:textId="77777777" w:rsidR="00483A21" w:rsidRDefault="00483A21" w:rsidP="00483A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F29BD" w14:textId="78126D5D" w:rsidR="00483A21" w:rsidRPr="00483A21" w:rsidRDefault="00483A21" w:rsidP="0048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A21">
        <w:rPr>
          <w:rFonts w:ascii="Times New Roman" w:hAnsi="Times New Roman" w:cs="Times New Roman"/>
          <w:b/>
          <w:bCs/>
          <w:sz w:val="24"/>
          <w:szCs w:val="24"/>
        </w:rPr>
        <w:t xml:space="preserve">Concept </w:t>
      </w:r>
      <w:proofErr w:type="spellStart"/>
      <w:r w:rsidR="004E53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3A21">
        <w:rPr>
          <w:rFonts w:ascii="Times New Roman" w:hAnsi="Times New Roman" w:cs="Times New Roman"/>
          <w:b/>
          <w:bCs/>
          <w:sz w:val="24"/>
          <w:szCs w:val="24"/>
        </w:rPr>
        <w:t>aper</w:t>
      </w:r>
      <w:proofErr w:type="spellEnd"/>
    </w:p>
    <w:p w14:paraId="5836315A" w14:textId="77777777" w:rsidR="00483A21" w:rsidRPr="00483A21" w:rsidRDefault="00483A21" w:rsidP="00483A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56519" w14:textId="4AAB06A2" w:rsidR="00483A21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1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ACEEEO;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celebrate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: Youth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p w14:paraId="1EB89D97" w14:textId="1E2A5AAE" w:rsidR="00483A21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ACEEEO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celebrates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voters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tomorrow’s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engagement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more formal democratic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ACEEEO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topic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dedicates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2021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theme.</w:t>
      </w:r>
    </w:p>
    <w:p w14:paraId="2B8274F0" w14:textId="77777777" w:rsidR="00483A21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complex topic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angles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on more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EMBs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highlighting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voter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engagement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crucial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reflect on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media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voters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are, or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procured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justifiability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apparent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divide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activism,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informal democratic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globe-spanning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p w14:paraId="3BE01D52" w14:textId="77777777" w:rsidR="00483A21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Conference’s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background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fruitful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voters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p w14:paraId="3E7F0A6C" w14:textId="41894864" w:rsidR="00483A21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topic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modern political contest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disentangled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political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report it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electoral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fund or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p w14:paraId="20D8D7E9" w14:textId="77777777" w:rsid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topic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perspective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 comparative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Political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ranging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subventions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micro-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but it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differs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lastRenderedPageBreak/>
        <w:t>may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regulate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borrow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failures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important trade-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offs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p w14:paraId="69D650C5" w14:textId="126DFEE8" w:rsidR="001C7B7A" w:rsidRPr="00483A21" w:rsidRDefault="00483A21" w:rsidP="00483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aspect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watchdogs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political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social media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internet are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more transparent.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– state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exchanging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as complement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other’s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A21">
        <w:rPr>
          <w:rFonts w:ascii="Times New Roman" w:hAnsi="Times New Roman" w:cs="Times New Roman"/>
          <w:sz w:val="24"/>
          <w:szCs w:val="24"/>
        </w:rPr>
        <w:t>malpractice</w:t>
      </w:r>
      <w:proofErr w:type="spellEnd"/>
      <w:r w:rsidRPr="00483A21">
        <w:rPr>
          <w:rFonts w:ascii="Times New Roman" w:hAnsi="Times New Roman" w:cs="Times New Roman"/>
          <w:sz w:val="24"/>
          <w:szCs w:val="24"/>
        </w:rPr>
        <w:t>.</w:t>
      </w:r>
    </w:p>
    <w:sectPr w:rsidR="001C7B7A" w:rsidRPr="00483A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FA06" w14:textId="77777777" w:rsidR="00CF1463" w:rsidRDefault="00CF1463" w:rsidP="004E53F7">
      <w:pPr>
        <w:spacing w:after="0" w:line="240" w:lineRule="auto"/>
      </w:pPr>
      <w:r>
        <w:separator/>
      </w:r>
    </w:p>
  </w:endnote>
  <w:endnote w:type="continuationSeparator" w:id="0">
    <w:p w14:paraId="7B9ADFE2" w14:textId="77777777" w:rsidR="00CF1463" w:rsidRDefault="00CF1463" w:rsidP="004E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09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29D18" w14:textId="572F190A" w:rsidR="004E53F7" w:rsidRDefault="004E53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2BF4" w14:textId="77777777" w:rsidR="004E53F7" w:rsidRDefault="004E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8855" w14:textId="77777777" w:rsidR="00CF1463" w:rsidRDefault="00CF1463" w:rsidP="004E53F7">
      <w:pPr>
        <w:spacing w:after="0" w:line="240" w:lineRule="auto"/>
      </w:pPr>
      <w:r>
        <w:separator/>
      </w:r>
    </w:p>
  </w:footnote>
  <w:footnote w:type="continuationSeparator" w:id="0">
    <w:p w14:paraId="1C827BD9" w14:textId="77777777" w:rsidR="00CF1463" w:rsidRDefault="00CF1463" w:rsidP="004E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4"/>
    <w:rsid w:val="00011B7A"/>
    <w:rsid w:val="00041AAE"/>
    <w:rsid w:val="000C7CED"/>
    <w:rsid w:val="001810AA"/>
    <w:rsid w:val="00251098"/>
    <w:rsid w:val="003B0881"/>
    <w:rsid w:val="00402DBC"/>
    <w:rsid w:val="00417DED"/>
    <w:rsid w:val="00426330"/>
    <w:rsid w:val="00483A21"/>
    <w:rsid w:val="004E53F7"/>
    <w:rsid w:val="0075192D"/>
    <w:rsid w:val="0081615D"/>
    <w:rsid w:val="00984DC6"/>
    <w:rsid w:val="00A37C47"/>
    <w:rsid w:val="00B75EB7"/>
    <w:rsid w:val="00CB075B"/>
    <w:rsid w:val="00CF1463"/>
    <w:rsid w:val="00DA295C"/>
    <w:rsid w:val="00DF52CD"/>
    <w:rsid w:val="00E449F4"/>
    <w:rsid w:val="00E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752F"/>
  <w15:chartTrackingRefBased/>
  <w15:docId w15:val="{A8ED4BFF-60BF-49AC-A54A-1555253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F7"/>
  </w:style>
  <w:style w:type="paragraph" w:styleId="Footer">
    <w:name w:val="footer"/>
    <w:basedOn w:val="Normal"/>
    <w:link w:val="FooterChar"/>
    <w:uiPriority w:val="99"/>
    <w:unhideWhenUsed/>
    <w:rsid w:val="004E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MARIA CRACIUN</cp:lastModifiedBy>
  <cp:revision>3</cp:revision>
  <cp:lastPrinted>2021-09-21T14:48:00Z</cp:lastPrinted>
  <dcterms:created xsi:type="dcterms:W3CDTF">2021-09-21T10:40:00Z</dcterms:created>
  <dcterms:modified xsi:type="dcterms:W3CDTF">2021-09-21T14:48:00Z</dcterms:modified>
</cp:coreProperties>
</file>