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EDC" w:rsidRPr="00250E49" w:rsidRDefault="00A95EDC" w:rsidP="00ED4F62">
      <w:pPr>
        <w:spacing w:line="276" w:lineRule="auto"/>
        <w:jc w:val="right"/>
        <w:rPr>
          <w:sz w:val="20"/>
        </w:rPr>
      </w:pPr>
      <w:bookmarkStart w:id="0" w:name="_GoBack"/>
      <w:bookmarkEnd w:id="0"/>
    </w:p>
    <w:tbl>
      <w:tblPr>
        <w:tblW w:w="5000" w:type="pct"/>
        <w:tblLook w:val="0000" w:firstRow="0" w:lastRow="0" w:firstColumn="0" w:lastColumn="0" w:noHBand="0" w:noVBand="0"/>
      </w:tblPr>
      <w:tblGrid>
        <w:gridCol w:w="1268"/>
        <w:gridCol w:w="1801"/>
        <w:gridCol w:w="2371"/>
        <w:gridCol w:w="2654"/>
        <w:gridCol w:w="1768"/>
        <w:gridCol w:w="1768"/>
        <w:gridCol w:w="1864"/>
        <w:gridCol w:w="1072"/>
      </w:tblGrid>
      <w:tr w:rsidR="00ED4F62" w:rsidRPr="00250E49" w:rsidTr="008A2C36">
        <w:trPr>
          <w:trHeight w:val="1264"/>
        </w:trPr>
        <w:tc>
          <w:tcPr>
            <w:tcW w:w="5000" w:type="pct"/>
            <w:gridSpan w:val="8"/>
            <w:tcBorders>
              <w:top w:val="nil"/>
              <w:left w:val="nil"/>
              <w:bottom w:val="nil"/>
              <w:right w:val="nil"/>
            </w:tcBorders>
            <w:shd w:val="solid" w:color="333399" w:fill="auto"/>
            <w:vAlign w:val="center"/>
          </w:tcPr>
          <w:p w:rsidR="00696320" w:rsidRPr="00250E49" w:rsidRDefault="00ED4F62" w:rsidP="00696320">
            <w:pPr>
              <w:autoSpaceDE w:val="0"/>
              <w:autoSpaceDN w:val="0"/>
              <w:adjustRightInd w:val="0"/>
              <w:rPr>
                <w:rFonts w:eastAsiaTheme="minorHAnsi"/>
                <w:b/>
                <w:bCs/>
                <w:color w:val="FFFFFF"/>
                <w:sz w:val="32"/>
                <w:szCs w:val="32"/>
              </w:rPr>
            </w:pPr>
            <w:r w:rsidRPr="00250E49">
              <w:rPr>
                <w:rFonts w:eastAsiaTheme="minorHAnsi"/>
                <w:b/>
                <w:bCs/>
                <w:color w:val="FFFFFF"/>
                <w:sz w:val="32"/>
                <w:szCs w:val="32"/>
              </w:rPr>
              <w:t>Planul de integritate al</w:t>
            </w:r>
            <w:r w:rsidR="00696320" w:rsidRPr="00250E49">
              <w:rPr>
                <w:rFonts w:eastAsiaTheme="minorHAnsi"/>
                <w:b/>
                <w:bCs/>
                <w:color w:val="FFFFFF"/>
                <w:sz w:val="32"/>
                <w:szCs w:val="32"/>
              </w:rPr>
              <w:t xml:space="preserve"> </w:t>
            </w:r>
            <w:r w:rsidRPr="00250E49">
              <w:rPr>
                <w:rFonts w:eastAsiaTheme="minorHAnsi"/>
                <w:b/>
                <w:bCs/>
                <w:color w:val="FFFFFF"/>
                <w:sz w:val="32"/>
                <w:szCs w:val="32"/>
              </w:rPr>
              <w:t>Autorității Electorale Permanente</w:t>
            </w:r>
          </w:p>
          <w:p w:rsidR="00DA6306" w:rsidRPr="00250E49" w:rsidRDefault="00ED4F62" w:rsidP="00696320">
            <w:pPr>
              <w:autoSpaceDE w:val="0"/>
              <w:autoSpaceDN w:val="0"/>
              <w:adjustRightInd w:val="0"/>
              <w:rPr>
                <w:rFonts w:eastAsiaTheme="minorHAnsi"/>
                <w:color w:val="000000"/>
                <w:sz w:val="18"/>
                <w:szCs w:val="18"/>
              </w:rPr>
            </w:pPr>
            <w:r w:rsidRPr="00250E49">
              <w:rPr>
                <w:rFonts w:eastAsiaTheme="minorHAnsi"/>
                <w:b/>
                <w:bCs/>
                <w:color w:val="FFFFFF"/>
                <w:sz w:val="32"/>
                <w:szCs w:val="32"/>
              </w:rPr>
              <w:t>pentru perioada 2019-2020</w:t>
            </w:r>
          </w:p>
        </w:tc>
      </w:tr>
      <w:tr w:rsidR="00ED4F62" w:rsidRPr="00250E49" w:rsidTr="0025082C">
        <w:trPr>
          <w:trHeight w:val="508"/>
        </w:trPr>
        <w:tc>
          <w:tcPr>
            <w:tcW w:w="435" w:type="pct"/>
            <w:tcBorders>
              <w:top w:val="nil"/>
              <w:left w:val="nil"/>
              <w:bottom w:val="nil"/>
              <w:right w:val="nil"/>
            </w:tcBorders>
            <w:shd w:val="solid" w:color="FFFFFF" w:fill="auto"/>
            <w:vAlign w:val="center"/>
          </w:tcPr>
          <w:p w:rsidR="00ED4F62" w:rsidRPr="00250E49" w:rsidRDefault="00ED4F62" w:rsidP="00DA6306">
            <w:pPr>
              <w:autoSpaceDE w:val="0"/>
              <w:autoSpaceDN w:val="0"/>
              <w:adjustRightInd w:val="0"/>
              <w:jc w:val="center"/>
              <w:rPr>
                <w:rFonts w:eastAsiaTheme="minorHAnsi"/>
                <w:b/>
                <w:bCs/>
                <w:color w:val="000000"/>
                <w:sz w:val="18"/>
                <w:szCs w:val="18"/>
              </w:rPr>
            </w:pPr>
            <w:r w:rsidRPr="00250E49">
              <w:rPr>
                <w:rFonts w:eastAsiaTheme="minorHAnsi"/>
                <w:b/>
                <w:bCs/>
                <w:color w:val="000000"/>
                <w:sz w:val="18"/>
                <w:szCs w:val="18"/>
              </w:rPr>
              <w:t>OBIECTIVE ȘI MĂSURI</w:t>
            </w:r>
          </w:p>
        </w:tc>
        <w:tc>
          <w:tcPr>
            <w:tcW w:w="618" w:type="pct"/>
            <w:tcBorders>
              <w:top w:val="nil"/>
              <w:left w:val="nil"/>
              <w:bottom w:val="nil"/>
              <w:right w:val="nil"/>
            </w:tcBorders>
            <w:shd w:val="solid" w:color="FFFFFF" w:fill="auto"/>
            <w:vAlign w:val="center"/>
          </w:tcPr>
          <w:p w:rsidR="00ED4F62" w:rsidRPr="00250E49" w:rsidRDefault="00ED4F62" w:rsidP="00DA6306">
            <w:pPr>
              <w:autoSpaceDE w:val="0"/>
              <w:autoSpaceDN w:val="0"/>
              <w:adjustRightInd w:val="0"/>
              <w:jc w:val="center"/>
              <w:rPr>
                <w:rFonts w:eastAsiaTheme="minorHAnsi"/>
                <w:b/>
                <w:bCs/>
                <w:color w:val="000000"/>
                <w:sz w:val="18"/>
                <w:szCs w:val="18"/>
              </w:rPr>
            </w:pPr>
            <w:r w:rsidRPr="00250E49">
              <w:rPr>
                <w:rFonts w:eastAsiaTheme="minorHAnsi"/>
                <w:b/>
                <w:bCs/>
                <w:color w:val="000000"/>
                <w:sz w:val="18"/>
                <w:szCs w:val="18"/>
              </w:rPr>
              <w:t>COMPARTIMENT RESPONSABIL</w:t>
            </w:r>
          </w:p>
        </w:tc>
        <w:tc>
          <w:tcPr>
            <w:tcW w:w="814" w:type="pct"/>
            <w:tcBorders>
              <w:top w:val="nil"/>
              <w:left w:val="nil"/>
              <w:bottom w:val="nil"/>
              <w:right w:val="nil"/>
            </w:tcBorders>
            <w:shd w:val="solid" w:color="FFFFFF" w:fill="auto"/>
            <w:vAlign w:val="center"/>
          </w:tcPr>
          <w:p w:rsidR="00ED4F62" w:rsidRPr="00250E49" w:rsidRDefault="00ED4F62" w:rsidP="00DA6306">
            <w:pPr>
              <w:autoSpaceDE w:val="0"/>
              <w:autoSpaceDN w:val="0"/>
              <w:adjustRightInd w:val="0"/>
              <w:jc w:val="center"/>
              <w:rPr>
                <w:rFonts w:eastAsiaTheme="minorHAnsi"/>
                <w:b/>
                <w:bCs/>
                <w:color w:val="000000"/>
                <w:sz w:val="18"/>
                <w:szCs w:val="18"/>
              </w:rPr>
            </w:pPr>
            <w:r w:rsidRPr="00250E49">
              <w:rPr>
                <w:rFonts w:eastAsiaTheme="minorHAnsi"/>
                <w:b/>
                <w:bCs/>
                <w:color w:val="000000"/>
                <w:sz w:val="18"/>
                <w:szCs w:val="18"/>
              </w:rPr>
              <w:t>DESCRIEREA ACŢIUNII</w:t>
            </w:r>
          </w:p>
        </w:tc>
        <w:tc>
          <w:tcPr>
            <w:tcW w:w="911" w:type="pct"/>
            <w:tcBorders>
              <w:top w:val="nil"/>
              <w:left w:val="nil"/>
              <w:bottom w:val="nil"/>
              <w:right w:val="nil"/>
            </w:tcBorders>
            <w:shd w:val="solid" w:color="FFFFFF" w:fill="auto"/>
            <w:vAlign w:val="center"/>
          </w:tcPr>
          <w:p w:rsidR="00ED4F62" w:rsidRPr="00250E49" w:rsidRDefault="00ED4F62" w:rsidP="00DA6306">
            <w:pPr>
              <w:autoSpaceDE w:val="0"/>
              <w:autoSpaceDN w:val="0"/>
              <w:adjustRightInd w:val="0"/>
              <w:jc w:val="center"/>
              <w:rPr>
                <w:rFonts w:eastAsiaTheme="minorHAnsi"/>
                <w:b/>
                <w:bCs/>
                <w:color w:val="000000"/>
                <w:sz w:val="18"/>
                <w:szCs w:val="18"/>
              </w:rPr>
            </w:pPr>
            <w:r w:rsidRPr="00250E49">
              <w:rPr>
                <w:rFonts w:eastAsiaTheme="minorHAnsi"/>
                <w:b/>
                <w:bCs/>
                <w:color w:val="000000"/>
                <w:sz w:val="18"/>
                <w:szCs w:val="18"/>
              </w:rPr>
              <w:t>INDICATORI</w:t>
            </w:r>
          </w:p>
        </w:tc>
        <w:tc>
          <w:tcPr>
            <w:tcW w:w="607" w:type="pct"/>
            <w:tcBorders>
              <w:top w:val="nil"/>
              <w:left w:val="nil"/>
              <w:bottom w:val="nil"/>
              <w:right w:val="nil"/>
            </w:tcBorders>
            <w:shd w:val="solid" w:color="FFFFFF" w:fill="auto"/>
            <w:vAlign w:val="center"/>
          </w:tcPr>
          <w:p w:rsidR="00ED4F62" w:rsidRPr="00250E49" w:rsidRDefault="00ED4F62" w:rsidP="00DA6306">
            <w:pPr>
              <w:autoSpaceDE w:val="0"/>
              <w:autoSpaceDN w:val="0"/>
              <w:adjustRightInd w:val="0"/>
              <w:jc w:val="center"/>
              <w:rPr>
                <w:rFonts w:eastAsiaTheme="minorHAnsi"/>
                <w:b/>
                <w:bCs/>
                <w:color w:val="000000"/>
                <w:sz w:val="18"/>
                <w:szCs w:val="18"/>
              </w:rPr>
            </w:pPr>
            <w:r w:rsidRPr="00250E49">
              <w:rPr>
                <w:rFonts w:eastAsiaTheme="minorHAnsi"/>
                <w:b/>
                <w:bCs/>
                <w:color w:val="000000"/>
                <w:sz w:val="18"/>
                <w:szCs w:val="18"/>
              </w:rPr>
              <w:t>RISCURI DE</w:t>
            </w:r>
          </w:p>
          <w:p w:rsidR="00ED4F62" w:rsidRPr="00250E49" w:rsidRDefault="00ED4F62" w:rsidP="00DA6306">
            <w:pPr>
              <w:autoSpaceDE w:val="0"/>
              <w:autoSpaceDN w:val="0"/>
              <w:adjustRightInd w:val="0"/>
              <w:jc w:val="center"/>
              <w:rPr>
                <w:rFonts w:eastAsiaTheme="minorHAnsi"/>
                <w:b/>
                <w:bCs/>
                <w:color w:val="000000"/>
                <w:sz w:val="18"/>
                <w:szCs w:val="18"/>
              </w:rPr>
            </w:pPr>
            <w:r w:rsidRPr="00250E49">
              <w:rPr>
                <w:rFonts w:eastAsiaTheme="minorHAnsi"/>
                <w:b/>
                <w:bCs/>
                <w:color w:val="000000"/>
                <w:sz w:val="18"/>
                <w:szCs w:val="18"/>
              </w:rPr>
              <w:t>IMPLEMENTARE</w:t>
            </w:r>
          </w:p>
        </w:tc>
        <w:tc>
          <w:tcPr>
            <w:tcW w:w="607" w:type="pct"/>
            <w:tcBorders>
              <w:top w:val="nil"/>
              <w:left w:val="nil"/>
              <w:bottom w:val="nil"/>
              <w:right w:val="nil"/>
            </w:tcBorders>
            <w:shd w:val="solid" w:color="FFFFFF" w:fill="auto"/>
            <w:vAlign w:val="center"/>
          </w:tcPr>
          <w:p w:rsidR="00ED4F62" w:rsidRPr="00250E49" w:rsidRDefault="00ED4F62" w:rsidP="00DA6306">
            <w:pPr>
              <w:autoSpaceDE w:val="0"/>
              <w:autoSpaceDN w:val="0"/>
              <w:adjustRightInd w:val="0"/>
              <w:jc w:val="center"/>
              <w:rPr>
                <w:rFonts w:eastAsiaTheme="minorHAnsi"/>
                <w:b/>
                <w:bCs/>
                <w:color w:val="000000"/>
                <w:sz w:val="18"/>
                <w:szCs w:val="18"/>
              </w:rPr>
            </w:pPr>
            <w:r w:rsidRPr="00250E49">
              <w:rPr>
                <w:rFonts w:eastAsiaTheme="minorHAnsi"/>
                <w:b/>
                <w:bCs/>
                <w:color w:val="000000"/>
                <w:sz w:val="18"/>
                <w:szCs w:val="18"/>
              </w:rPr>
              <w:t>TERMEN DE IMPLEMENTARE</w:t>
            </w:r>
          </w:p>
        </w:tc>
        <w:tc>
          <w:tcPr>
            <w:tcW w:w="640" w:type="pct"/>
            <w:tcBorders>
              <w:top w:val="nil"/>
              <w:left w:val="nil"/>
              <w:bottom w:val="nil"/>
              <w:right w:val="nil"/>
            </w:tcBorders>
            <w:shd w:val="solid" w:color="FFFFFF" w:fill="auto"/>
            <w:vAlign w:val="center"/>
          </w:tcPr>
          <w:p w:rsidR="00ED4F62" w:rsidRPr="00250E49" w:rsidRDefault="00ED4F62" w:rsidP="00DA6306">
            <w:pPr>
              <w:autoSpaceDE w:val="0"/>
              <w:autoSpaceDN w:val="0"/>
              <w:adjustRightInd w:val="0"/>
              <w:jc w:val="center"/>
              <w:rPr>
                <w:rFonts w:eastAsiaTheme="minorHAnsi"/>
                <w:b/>
                <w:bCs/>
                <w:color w:val="000000"/>
                <w:sz w:val="18"/>
                <w:szCs w:val="18"/>
              </w:rPr>
            </w:pPr>
            <w:r w:rsidRPr="00250E49">
              <w:rPr>
                <w:rFonts w:eastAsiaTheme="minorHAnsi"/>
                <w:b/>
                <w:bCs/>
                <w:color w:val="000000"/>
                <w:sz w:val="18"/>
                <w:szCs w:val="18"/>
              </w:rPr>
              <w:t>SURSE DE VERIFICARE</w:t>
            </w:r>
          </w:p>
        </w:tc>
        <w:tc>
          <w:tcPr>
            <w:tcW w:w="368" w:type="pct"/>
            <w:tcBorders>
              <w:top w:val="nil"/>
              <w:left w:val="nil"/>
              <w:bottom w:val="nil"/>
              <w:right w:val="nil"/>
            </w:tcBorders>
            <w:shd w:val="solid" w:color="FFFFFF" w:fill="auto"/>
            <w:vAlign w:val="center"/>
          </w:tcPr>
          <w:p w:rsidR="00ED4F62" w:rsidRPr="00250E49" w:rsidRDefault="00ED4F62" w:rsidP="00DA6306">
            <w:pPr>
              <w:autoSpaceDE w:val="0"/>
              <w:autoSpaceDN w:val="0"/>
              <w:adjustRightInd w:val="0"/>
              <w:jc w:val="center"/>
              <w:rPr>
                <w:rFonts w:eastAsiaTheme="minorHAnsi"/>
                <w:b/>
                <w:bCs/>
                <w:color w:val="000000"/>
                <w:sz w:val="18"/>
                <w:szCs w:val="18"/>
              </w:rPr>
            </w:pPr>
            <w:r w:rsidRPr="00250E49">
              <w:rPr>
                <w:rFonts w:eastAsiaTheme="minorHAnsi"/>
                <w:b/>
                <w:bCs/>
                <w:color w:val="000000"/>
                <w:sz w:val="18"/>
                <w:szCs w:val="18"/>
              </w:rPr>
              <w:t>BUGET ESTIMAT</w:t>
            </w:r>
          </w:p>
        </w:tc>
      </w:tr>
      <w:tr w:rsidR="00ED4F62" w:rsidRPr="00250E49" w:rsidTr="0025082C">
        <w:trPr>
          <w:trHeight w:val="290"/>
        </w:trPr>
        <w:tc>
          <w:tcPr>
            <w:tcW w:w="5000" w:type="pct"/>
            <w:gridSpan w:val="8"/>
            <w:tcBorders>
              <w:top w:val="nil"/>
              <w:left w:val="nil"/>
              <w:bottom w:val="nil"/>
              <w:right w:val="nil"/>
            </w:tcBorders>
            <w:shd w:val="solid" w:color="333399" w:fill="auto"/>
            <w:vAlign w:val="center"/>
          </w:tcPr>
          <w:p w:rsidR="00ED4F62" w:rsidRPr="00250E49" w:rsidRDefault="00ED4F62" w:rsidP="00DA6306">
            <w:pPr>
              <w:autoSpaceDE w:val="0"/>
              <w:autoSpaceDN w:val="0"/>
              <w:adjustRightInd w:val="0"/>
              <w:jc w:val="center"/>
              <w:rPr>
                <w:rFonts w:eastAsiaTheme="minorHAnsi"/>
                <w:b/>
                <w:bCs/>
                <w:color w:val="FFFFFF"/>
                <w:sz w:val="18"/>
                <w:szCs w:val="18"/>
              </w:rPr>
            </w:pPr>
            <w:r w:rsidRPr="00250E49">
              <w:rPr>
                <w:rFonts w:eastAsiaTheme="minorHAnsi"/>
                <w:b/>
                <w:bCs/>
                <w:color w:val="FFFFFF"/>
                <w:sz w:val="18"/>
                <w:szCs w:val="18"/>
              </w:rPr>
              <w:t>Obiectiv general 1 – Creșterea integrității electorale şi instituționale</w:t>
            </w:r>
          </w:p>
        </w:tc>
      </w:tr>
      <w:tr w:rsidR="00BE4E0B" w:rsidRPr="00250E49" w:rsidTr="0025082C">
        <w:trPr>
          <w:trHeight w:val="463"/>
        </w:trPr>
        <w:tc>
          <w:tcPr>
            <w:tcW w:w="435" w:type="pct"/>
            <w:tcBorders>
              <w:top w:val="nil"/>
              <w:left w:val="nil"/>
              <w:bottom w:val="nil"/>
              <w:right w:val="nil"/>
            </w:tcBorders>
            <w:shd w:val="solid" w:color="99CCFF" w:fill="auto"/>
            <w:vAlign w:val="center"/>
          </w:tcPr>
          <w:p w:rsidR="00BE4E0B" w:rsidRPr="00250E49" w:rsidRDefault="00BE4E0B" w:rsidP="00BE4E0B">
            <w:pPr>
              <w:autoSpaceDE w:val="0"/>
              <w:autoSpaceDN w:val="0"/>
              <w:adjustRightInd w:val="0"/>
              <w:rPr>
                <w:rFonts w:eastAsiaTheme="minorHAnsi"/>
                <w:color w:val="000000"/>
                <w:sz w:val="18"/>
                <w:szCs w:val="18"/>
              </w:rPr>
            </w:pPr>
            <w:r w:rsidRPr="00250E49">
              <w:rPr>
                <w:rFonts w:eastAsiaTheme="minorHAnsi"/>
                <w:color w:val="000000"/>
                <w:sz w:val="18"/>
                <w:szCs w:val="18"/>
              </w:rPr>
              <w:t>Obiectivul specific 1.1.</w:t>
            </w:r>
          </w:p>
        </w:tc>
        <w:tc>
          <w:tcPr>
            <w:tcW w:w="4565" w:type="pct"/>
            <w:gridSpan w:val="7"/>
            <w:tcBorders>
              <w:top w:val="nil"/>
              <w:left w:val="nil"/>
              <w:bottom w:val="nil"/>
              <w:right w:val="nil"/>
            </w:tcBorders>
            <w:shd w:val="solid" w:color="99CCFF" w:fill="auto"/>
            <w:vAlign w:val="center"/>
          </w:tcPr>
          <w:p w:rsidR="00BE4E0B" w:rsidRPr="00250E49" w:rsidRDefault="00BE4E0B" w:rsidP="00BE4E0B">
            <w:pPr>
              <w:autoSpaceDE w:val="0"/>
              <w:autoSpaceDN w:val="0"/>
              <w:adjustRightInd w:val="0"/>
              <w:jc w:val="center"/>
              <w:rPr>
                <w:rFonts w:eastAsiaTheme="minorHAnsi"/>
                <w:color w:val="000000"/>
                <w:sz w:val="18"/>
                <w:szCs w:val="18"/>
              </w:rPr>
            </w:pPr>
            <w:r w:rsidRPr="00250E49">
              <w:rPr>
                <w:rFonts w:eastAsiaTheme="minorHAnsi"/>
                <w:color w:val="000000"/>
                <w:sz w:val="18"/>
                <w:szCs w:val="18"/>
              </w:rPr>
              <w:t>Continuarea dezvoltării și a utilizării programelor informatice pentru eliminarea votului multiplu și a votului exprimat fără drept</w:t>
            </w:r>
          </w:p>
        </w:tc>
      </w:tr>
      <w:tr w:rsidR="00BE4E0B" w:rsidRPr="00250E49" w:rsidTr="0025082C">
        <w:trPr>
          <w:trHeight w:val="1017"/>
        </w:trPr>
        <w:tc>
          <w:tcPr>
            <w:tcW w:w="435" w:type="pct"/>
            <w:tcBorders>
              <w:top w:val="nil"/>
              <w:left w:val="nil"/>
              <w:right w:val="nil"/>
            </w:tcBorders>
            <w:vAlign w:val="center"/>
          </w:tcPr>
          <w:p w:rsidR="00BE4E0B" w:rsidRPr="00250E49" w:rsidRDefault="00BE4E0B" w:rsidP="00BE4E0B">
            <w:pPr>
              <w:autoSpaceDE w:val="0"/>
              <w:autoSpaceDN w:val="0"/>
              <w:adjustRightInd w:val="0"/>
              <w:rPr>
                <w:rFonts w:eastAsiaTheme="minorHAnsi"/>
                <w:color w:val="000000"/>
                <w:sz w:val="18"/>
                <w:szCs w:val="18"/>
              </w:rPr>
            </w:pPr>
            <w:r w:rsidRPr="00250E49">
              <w:rPr>
                <w:rFonts w:eastAsiaTheme="minorHAnsi"/>
                <w:color w:val="000000"/>
                <w:sz w:val="18"/>
                <w:szCs w:val="18"/>
              </w:rPr>
              <w:t>Măsura 1.1.1.</w:t>
            </w:r>
          </w:p>
        </w:tc>
        <w:tc>
          <w:tcPr>
            <w:tcW w:w="618" w:type="pct"/>
            <w:tcBorders>
              <w:top w:val="nil"/>
              <w:left w:val="nil"/>
              <w:right w:val="nil"/>
            </w:tcBorders>
            <w:vAlign w:val="center"/>
          </w:tcPr>
          <w:p w:rsidR="00BE4E0B" w:rsidRPr="00250E49" w:rsidRDefault="00BE4E0B" w:rsidP="00BE4E0B">
            <w:pPr>
              <w:autoSpaceDE w:val="0"/>
              <w:autoSpaceDN w:val="0"/>
              <w:adjustRightInd w:val="0"/>
              <w:rPr>
                <w:rFonts w:eastAsiaTheme="minorHAnsi"/>
                <w:color w:val="000000"/>
                <w:sz w:val="18"/>
                <w:szCs w:val="18"/>
              </w:rPr>
            </w:pPr>
            <w:r w:rsidRPr="00250E49">
              <w:rPr>
                <w:rFonts w:eastAsiaTheme="minorHAnsi"/>
                <w:color w:val="000000"/>
                <w:sz w:val="18"/>
                <w:szCs w:val="18"/>
              </w:rPr>
              <w:t>Departamentul legislativ</w:t>
            </w:r>
          </w:p>
        </w:tc>
        <w:tc>
          <w:tcPr>
            <w:tcW w:w="814" w:type="pct"/>
            <w:tcBorders>
              <w:top w:val="nil"/>
              <w:left w:val="nil"/>
              <w:right w:val="nil"/>
            </w:tcBorders>
            <w:vAlign w:val="center"/>
          </w:tcPr>
          <w:p w:rsidR="00BE4E0B" w:rsidRPr="00250E49" w:rsidRDefault="00BE4E0B" w:rsidP="00BE4E0B">
            <w:pPr>
              <w:autoSpaceDE w:val="0"/>
              <w:autoSpaceDN w:val="0"/>
              <w:adjustRightInd w:val="0"/>
              <w:rPr>
                <w:rFonts w:eastAsiaTheme="minorHAnsi"/>
                <w:color w:val="000000"/>
                <w:sz w:val="18"/>
                <w:szCs w:val="18"/>
              </w:rPr>
            </w:pPr>
            <w:r w:rsidRPr="00250E49">
              <w:rPr>
                <w:rFonts w:eastAsiaTheme="minorHAnsi"/>
                <w:color w:val="000000"/>
                <w:sz w:val="18"/>
                <w:szCs w:val="18"/>
              </w:rPr>
              <w:t xml:space="preserve">Completarea legislaţiei primare şi secundare privind referendumul, alegerile prezidenţiale şi europarlamentare cu prevederi referitoare la funcţionarea SIMPV </w:t>
            </w:r>
          </w:p>
        </w:tc>
        <w:tc>
          <w:tcPr>
            <w:tcW w:w="911" w:type="pct"/>
            <w:tcBorders>
              <w:top w:val="nil"/>
              <w:left w:val="nil"/>
              <w:right w:val="nil"/>
            </w:tcBorders>
            <w:vAlign w:val="center"/>
          </w:tcPr>
          <w:p w:rsidR="00BE4E0B" w:rsidRPr="00250E49" w:rsidRDefault="00BE4E0B" w:rsidP="00BE4E0B">
            <w:pPr>
              <w:autoSpaceDE w:val="0"/>
              <w:autoSpaceDN w:val="0"/>
              <w:adjustRightInd w:val="0"/>
              <w:rPr>
                <w:rFonts w:eastAsiaTheme="minorHAnsi"/>
                <w:color w:val="000000"/>
                <w:sz w:val="18"/>
                <w:szCs w:val="18"/>
              </w:rPr>
            </w:pPr>
            <w:r w:rsidRPr="00250E49">
              <w:rPr>
                <w:rFonts w:eastAsiaTheme="minorHAnsi"/>
                <w:color w:val="000000"/>
                <w:sz w:val="18"/>
                <w:szCs w:val="18"/>
              </w:rPr>
              <w:t>Numărul proiectelor de acte normative elaborate şi adoptate</w:t>
            </w:r>
          </w:p>
        </w:tc>
        <w:tc>
          <w:tcPr>
            <w:tcW w:w="607" w:type="pct"/>
            <w:tcBorders>
              <w:top w:val="nil"/>
              <w:left w:val="nil"/>
              <w:right w:val="nil"/>
            </w:tcBorders>
            <w:vAlign w:val="center"/>
          </w:tcPr>
          <w:p w:rsidR="00BE4E0B" w:rsidRPr="00250E49" w:rsidRDefault="00BE4E0B" w:rsidP="00BE4E0B">
            <w:pPr>
              <w:autoSpaceDE w:val="0"/>
              <w:autoSpaceDN w:val="0"/>
              <w:adjustRightInd w:val="0"/>
              <w:rPr>
                <w:rFonts w:eastAsiaTheme="minorHAnsi"/>
                <w:color w:val="000000"/>
                <w:sz w:val="18"/>
                <w:szCs w:val="18"/>
              </w:rPr>
            </w:pPr>
            <w:r w:rsidRPr="00250E49">
              <w:rPr>
                <w:rFonts w:eastAsiaTheme="minorHAnsi"/>
                <w:color w:val="000000"/>
                <w:sz w:val="18"/>
                <w:szCs w:val="18"/>
              </w:rPr>
              <w:t>Adoptarea cu întârziere de către Parlament, respectiv de către Guvern a modificărilor propuse</w:t>
            </w:r>
          </w:p>
        </w:tc>
        <w:tc>
          <w:tcPr>
            <w:tcW w:w="607" w:type="pct"/>
            <w:tcBorders>
              <w:top w:val="nil"/>
              <w:left w:val="nil"/>
              <w:right w:val="nil"/>
            </w:tcBorders>
            <w:vAlign w:val="center"/>
          </w:tcPr>
          <w:p w:rsidR="00BE4E0B" w:rsidRPr="00250E49" w:rsidRDefault="00BE4E0B" w:rsidP="00BE4E0B">
            <w:pPr>
              <w:autoSpaceDE w:val="0"/>
              <w:autoSpaceDN w:val="0"/>
              <w:adjustRightInd w:val="0"/>
              <w:rPr>
                <w:rFonts w:eastAsiaTheme="minorHAnsi"/>
                <w:color w:val="000000"/>
                <w:sz w:val="18"/>
                <w:szCs w:val="18"/>
              </w:rPr>
            </w:pPr>
            <w:r w:rsidRPr="00250E49">
              <w:rPr>
                <w:rFonts w:eastAsiaTheme="minorHAnsi"/>
                <w:color w:val="000000"/>
                <w:sz w:val="18"/>
                <w:szCs w:val="18"/>
              </w:rPr>
              <w:t xml:space="preserve">Până la </w:t>
            </w:r>
          </w:p>
          <w:p w:rsidR="00BE4E0B" w:rsidRPr="00250E49" w:rsidRDefault="00BE4E0B" w:rsidP="00BE4E0B">
            <w:pPr>
              <w:autoSpaceDE w:val="0"/>
              <w:autoSpaceDN w:val="0"/>
              <w:adjustRightInd w:val="0"/>
              <w:rPr>
                <w:rFonts w:eastAsiaTheme="minorHAnsi"/>
                <w:color w:val="000000"/>
                <w:sz w:val="18"/>
                <w:szCs w:val="18"/>
              </w:rPr>
            </w:pPr>
            <w:r w:rsidRPr="00250E49">
              <w:rPr>
                <w:rFonts w:eastAsiaTheme="minorHAnsi"/>
                <w:color w:val="000000"/>
                <w:sz w:val="18"/>
                <w:szCs w:val="18"/>
              </w:rPr>
              <w:t>31 decembrie 20</w:t>
            </w:r>
            <w:r w:rsidR="00D5475A" w:rsidRPr="00250E49">
              <w:rPr>
                <w:rFonts w:eastAsiaTheme="minorHAnsi"/>
                <w:color w:val="000000"/>
                <w:sz w:val="18"/>
                <w:szCs w:val="18"/>
              </w:rPr>
              <w:t>19</w:t>
            </w:r>
          </w:p>
        </w:tc>
        <w:tc>
          <w:tcPr>
            <w:tcW w:w="640" w:type="pct"/>
            <w:tcBorders>
              <w:top w:val="nil"/>
              <w:left w:val="nil"/>
              <w:right w:val="nil"/>
            </w:tcBorders>
            <w:vAlign w:val="center"/>
          </w:tcPr>
          <w:p w:rsidR="00BE4E0B" w:rsidRPr="00250E49" w:rsidRDefault="00BE4E0B" w:rsidP="00BE4E0B">
            <w:pPr>
              <w:autoSpaceDE w:val="0"/>
              <w:autoSpaceDN w:val="0"/>
              <w:adjustRightInd w:val="0"/>
              <w:rPr>
                <w:rFonts w:eastAsiaTheme="minorHAnsi"/>
                <w:color w:val="000000"/>
                <w:sz w:val="18"/>
                <w:szCs w:val="18"/>
              </w:rPr>
            </w:pPr>
            <w:r w:rsidRPr="00250E49">
              <w:rPr>
                <w:rFonts w:eastAsiaTheme="minorHAnsi"/>
                <w:color w:val="000000"/>
                <w:sz w:val="18"/>
                <w:szCs w:val="18"/>
              </w:rPr>
              <w:t>Monitorul Oficial al României Partea I</w:t>
            </w:r>
          </w:p>
        </w:tc>
        <w:tc>
          <w:tcPr>
            <w:tcW w:w="368" w:type="pct"/>
            <w:tcBorders>
              <w:top w:val="nil"/>
              <w:left w:val="nil"/>
              <w:right w:val="nil"/>
            </w:tcBorders>
            <w:vAlign w:val="center"/>
          </w:tcPr>
          <w:p w:rsidR="00BE4E0B" w:rsidRPr="00250E49" w:rsidRDefault="00BE4E0B" w:rsidP="00BE4E0B">
            <w:pPr>
              <w:autoSpaceDE w:val="0"/>
              <w:autoSpaceDN w:val="0"/>
              <w:adjustRightInd w:val="0"/>
              <w:rPr>
                <w:rFonts w:eastAsiaTheme="minorHAnsi"/>
                <w:color w:val="000000"/>
                <w:sz w:val="18"/>
                <w:szCs w:val="18"/>
              </w:rPr>
            </w:pPr>
            <w:r w:rsidRPr="00250E49">
              <w:rPr>
                <w:rFonts w:eastAsiaTheme="minorHAnsi"/>
                <w:color w:val="000000"/>
                <w:sz w:val="18"/>
                <w:szCs w:val="18"/>
              </w:rPr>
              <w:t>Bugetul curent</w:t>
            </w:r>
          </w:p>
        </w:tc>
      </w:tr>
      <w:tr w:rsidR="00ED4F62" w:rsidRPr="00250E49" w:rsidTr="0025082C">
        <w:trPr>
          <w:trHeight w:val="463"/>
        </w:trPr>
        <w:tc>
          <w:tcPr>
            <w:tcW w:w="435" w:type="pct"/>
            <w:tcBorders>
              <w:top w:val="nil"/>
              <w:left w:val="nil"/>
              <w:bottom w:val="nil"/>
              <w:right w:val="nil"/>
            </w:tcBorders>
            <w:shd w:val="solid" w:color="99CCFF" w:fill="auto"/>
            <w:vAlign w:val="center"/>
          </w:tcPr>
          <w:p w:rsidR="00ED4F62" w:rsidRPr="00250E49" w:rsidRDefault="00ED4F62" w:rsidP="00DA6306">
            <w:pPr>
              <w:autoSpaceDE w:val="0"/>
              <w:autoSpaceDN w:val="0"/>
              <w:adjustRightInd w:val="0"/>
              <w:rPr>
                <w:rFonts w:eastAsiaTheme="minorHAnsi"/>
                <w:color w:val="000000"/>
                <w:sz w:val="18"/>
                <w:szCs w:val="18"/>
              </w:rPr>
            </w:pPr>
            <w:r w:rsidRPr="00250E49">
              <w:rPr>
                <w:rFonts w:eastAsiaTheme="minorHAnsi"/>
                <w:color w:val="000000"/>
                <w:sz w:val="18"/>
                <w:szCs w:val="18"/>
              </w:rPr>
              <w:t>Obiectivul specific 1.</w:t>
            </w:r>
            <w:r w:rsidR="00BE4E0B" w:rsidRPr="00250E49">
              <w:rPr>
                <w:rFonts w:eastAsiaTheme="minorHAnsi"/>
                <w:color w:val="000000"/>
                <w:sz w:val="18"/>
                <w:szCs w:val="18"/>
              </w:rPr>
              <w:t>2</w:t>
            </w:r>
            <w:r w:rsidRPr="00250E49">
              <w:rPr>
                <w:rFonts w:eastAsiaTheme="minorHAnsi"/>
                <w:color w:val="000000"/>
                <w:sz w:val="18"/>
                <w:szCs w:val="18"/>
              </w:rPr>
              <w:t>.</w:t>
            </w:r>
          </w:p>
        </w:tc>
        <w:tc>
          <w:tcPr>
            <w:tcW w:w="4565" w:type="pct"/>
            <w:gridSpan w:val="7"/>
            <w:tcBorders>
              <w:top w:val="nil"/>
              <w:left w:val="nil"/>
              <w:bottom w:val="nil"/>
              <w:right w:val="nil"/>
            </w:tcBorders>
            <w:shd w:val="solid" w:color="99CCFF" w:fill="auto"/>
            <w:vAlign w:val="center"/>
          </w:tcPr>
          <w:p w:rsidR="00ED4F62" w:rsidRPr="00250E49" w:rsidRDefault="00ED4F62" w:rsidP="00DA6306">
            <w:pPr>
              <w:autoSpaceDE w:val="0"/>
              <w:autoSpaceDN w:val="0"/>
              <w:adjustRightInd w:val="0"/>
              <w:jc w:val="center"/>
              <w:rPr>
                <w:rFonts w:eastAsiaTheme="minorHAnsi"/>
                <w:color w:val="000000"/>
                <w:sz w:val="18"/>
                <w:szCs w:val="18"/>
              </w:rPr>
            </w:pPr>
            <w:r w:rsidRPr="00250E49">
              <w:rPr>
                <w:rFonts w:eastAsiaTheme="minorHAnsi"/>
                <w:color w:val="000000"/>
                <w:sz w:val="18"/>
                <w:szCs w:val="18"/>
              </w:rPr>
              <w:t>Selecția competitivă și specializarea oficialilor electorali</w:t>
            </w:r>
          </w:p>
        </w:tc>
      </w:tr>
      <w:tr w:rsidR="00ED4F62" w:rsidRPr="00250E49" w:rsidTr="0025082C">
        <w:trPr>
          <w:trHeight w:val="1315"/>
        </w:trPr>
        <w:tc>
          <w:tcPr>
            <w:tcW w:w="435" w:type="pct"/>
            <w:tcBorders>
              <w:top w:val="nil"/>
              <w:left w:val="nil"/>
              <w:bottom w:val="single" w:sz="6" w:space="0" w:color="auto"/>
              <w:right w:val="nil"/>
            </w:tcBorders>
            <w:vAlign w:val="center"/>
          </w:tcPr>
          <w:p w:rsidR="00ED4F62" w:rsidRPr="00250E49" w:rsidRDefault="00ED4F62" w:rsidP="00DA6306">
            <w:pPr>
              <w:autoSpaceDE w:val="0"/>
              <w:autoSpaceDN w:val="0"/>
              <w:adjustRightInd w:val="0"/>
              <w:rPr>
                <w:rFonts w:eastAsiaTheme="minorHAnsi"/>
                <w:color w:val="000000"/>
                <w:sz w:val="18"/>
                <w:szCs w:val="18"/>
              </w:rPr>
            </w:pPr>
            <w:r w:rsidRPr="00250E49">
              <w:rPr>
                <w:rFonts w:eastAsiaTheme="minorHAnsi"/>
                <w:color w:val="000000"/>
                <w:sz w:val="18"/>
                <w:szCs w:val="18"/>
              </w:rPr>
              <w:t>Măsura 1.</w:t>
            </w:r>
            <w:r w:rsidR="00BE4E0B" w:rsidRPr="00250E49">
              <w:rPr>
                <w:rFonts w:eastAsiaTheme="minorHAnsi"/>
                <w:color w:val="000000"/>
                <w:sz w:val="18"/>
                <w:szCs w:val="18"/>
              </w:rPr>
              <w:t>2</w:t>
            </w:r>
            <w:r w:rsidRPr="00250E49">
              <w:rPr>
                <w:rFonts w:eastAsiaTheme="minorHAnsi"/>
                <w:color w:val="000000"/>
                <w:sz w:val="18"/>
                <w:szCs w:val="18"/>
              </w:rPr>
              <w:t>.1.</w:t>
            </w:r>
          </w:p>
        </w:tc>
        <w:tc>
          <w:tcPr>
            <w:tcW w:w="618" w:type="pct"/>
            <w:tcBorders>
              <w:top w:val="nil"/>
              <w:left w:val="nil"/>
              <w:bottom w:val="single" w:sz="6" w:space="0" w:color="auto"/>
              <w:right w:val="nil"/>
            </w:tcBorders>
            <w:vAlign w:val="center"/>
          </w:tcPr>
          <w:p w:rsidR="00ED4F62" w:rsidRPr="00250E49" w:rsidRDefault="00ED4F62" w:rsidP="00DA6306">
            <w:pPr>
              <w:autoSpaceDE w:val="0"/>
              <w:autoSpaceDN w:val="0"/>
              <w:adjustRightInd w:val="0"/>
              <w:rPr>
                <w:rFonts w:eastAsiaTheme="minorHAnsi"/>
                <w:color w:val="000000"/>
                <w:sz w:val="18"/>
                <w:szCs w:val="18"/>
              </w:rPr>
            </w:pPr>
            <w:r w:rsidRPr="00250E49">
              <w:rPr>
                <w:rFonts w:eastAsiaTheme="minorHAnsi"/>
                <w:color w:val="000000"/>
                <w:sz w:val="18"/>
                <w:szCs w:val="18"/>
              </w:rPr>
              <w:t>Departamentul legislativ</w:t>
            </w:r>
          </w:p>
        </w:tc>
        <w:tc>
          <w:tcPr>
            <w:tcW w:w="814" w:type="pct"/>
            <w:tcBorders>
              <w:top w:val="nil"/>
              <w:left w:val="nil"/>
              <w:bottom w:val="single" w:sz="6" w:space="0" w:color="auto"/>
              <w:right w:val="nil"/>
            </w:tcBorders>
            <w:vAlign w:val="center"/>
          </w:tcPr>
          <w:p w:rsidR="00ED4F62" w:rsidRPr="00250E49" w:rsidRDefault="00ED4F62" w:rsidP="00DA6306">
            <w:pPr>
              <w:autoSpaceDE w:val="0"/>
              <w:autoSpaceDN w:val="0"/>
              <w:adjustRightInd w:val="0"/>
              <w:rPr>
                <w:rFonts w:eastAsiaTheme="minorHAnsi"/>
                <w:color w:val="000000"/>
                <w:sz w:val="18"/>
                <w:szCs w:val="18"/>
              </w:rPr>
            </w:pPr>
            <w:r w:rsidRPr="00250E49">
              <w:rPr>
                <w:rFonts w:eastAsiaTheme="minorHAnsi"/>
                <w:color w:val="000000"/>
                <w:sz w:val="18"/>
                <w:szCs w:val="18"/>
              </w:rPr>
              <w:t xml:space="preserve">Elaborarea unui proiect de lege pentru consolidarea statutului experților electorali și al operatorilor de calculator, precum și pentru creșterea indemnizației acestora </w:t>
            </w:r>
          </w:p>
        </w:tc>
        <w:tc>
          <w:tcPr>
            <w:tcW w:w="911" w:type="pct"/>
            <w:tcBorders>
              <w:top w:val="nil"/>
              <w:left w:val="nil"/>
              <w:bottom w:val="single" w:sz="6" w:space="0" w:color="auto"/>
              <w:right w:val="nil"/>
            </w:tcBorders>
            <w:vAlign w:val="center"/>
          </w:tcPr>
          <w:p w:rsidR="00ED4F62" w:rsidRPr="00250E49" w:rsidRDefault="00ED4F62" w:rsidP="00DA6306">
            <w:pPr>
              <w:autoSpaceDE w:val="0"/>
              <w:autoSpaceDN w:val="0"/>
              <w:adjustRightInd w:val="0"/>
              <w:rPr>
                <w:rFonts w:eastAsiaTheme="minorHAnsi"/>
                <w:color w:val="000000"/>
                <w:sz w:val="18"/>
                <w:szCs w:val="18"/>
              </w:rPr>
            </w:pPr>
            <w:r w:rsidRPr="00250E49">
              <w:rPr>
                <w:rFonts w:eastAsiaTheme="minorHAnsi"/>
                <w:color w:val="000000"/>
                <w:sz w:val="18"/>
                <w:szCs w:val="18"/>
              </w:rPr>
              <w:t>Numărul proiectelor de acte normative elaborate şi adoptate</w:t>
            </w:r>
          </w:p>
        </w:tc>
        <w:tc>
          <w:tcPr>
            <w:tcW w:w="607" w:type="pct"/>
            <w:tcBorders>
              <w:top w:val="nil"/>
              <w:left w:val="nil"/>
              <w:bottom w:val="single" w:sz="4" w:space="0" w:color="auto"/>
              <w:right w:val="nil"/>
            </w:tcBorders>
            <w:vAlign w:val="center"/>
          </w:tcPr>
          <w:p w:rsidR="00ED4F62" w:rsidRPr="00250E49" w:rsidRDefault="00ED4F62" w:rsidP="00DA6306">
            <w:pPr>
              <w:autoSpaceDE w:val="0"/>
              <w:autoSpaceDN w:val="0"/>
              <w:adjustRightInd w:val="0"/>
              <w:rPr>
                <w:rFonts w:eastAsiaTheme="minorHAnsi"/>
                <w:color w:val="000000"/>
                <w:sz w:val="18"/>
                <w:szCs w:val="18"/>
              </w:rPr>
            </w:pPr>
            <w:r w:rsidRPr="00250E49">
              <w:rPr>
                <w:rFonts w:eastAsiaTheme="minorHAnsi"/>
                <w:color w:val="000000"/>
                <w:sz w:val="18"/>
                <w:szCs w:val="18"/>
              </w:rPr>
              <w:t>Adoptarea cu întârziere de către Parlament, respectiv de către Guvern a modificărilor propuse</w:t>
            </w:r>
          </w:p>
        </w:tc>
        <w:tc>
          <w:tcPr>
            <w:tcW w:w="607" w:type="pct"/>
            <w:tcBorders>
              <w:left w:val="nil"/>
              <w:bottom w:val="single" w:sz="4" w:space="0" w:color="auto"/>
              <w:right w:val="nil"/>
            </w:tcBorders>
            <w:vAlign w:val="center"/>
          </w:tcPr>
          <w:p w:rsidR="00ED4F62" w:rsidRPr="00250E49" w:rsidRDefault="00ED4F62" w:rsidP="00DA6306">
            <w:pPr>
              <w:autoSpaceDE w:val="0"/>
              <w:autoSpaceDN w:val="0"/>
              <w:adjustRightInd w:val="0"/>
              <w:rPr>
                <w:rFonts w:eastAsiaTheme="minorHAnsi"/>
                <w:color w:val="000000"/>
                <w:sz w:val="18"/>
                <w:szCs w:val="18"/>
              </w:rPr>
            </w:pPr>
            <w:r w:rsidRPr="00250E49">
              <w:rPr>
                <w:rFonts w:eastAsiaTheme="minorHAnsi"/>
                <w:color w:val="000000"/>
                <w:sz w:val="18"/>
                <w:szCs w:val="18"/>
              </w:rPr>
              <w:t xml:space="preserve">Până la </w:t>
            </w:r>
          </w:p>
          <w:p w:rsidR="00ED4F62" w:rsidRPr="00250E49" w:rsidRDefault="00ED4F62" w:rsidP="0025082C">
            <w:pPr>
              <w:autoSpaceDE w:val="0"/>
              <w:autoSpaceDN w:val="0"/>
              <w:adjustRightInd w:val="0"/>
              <w:rPr>
                <w:rFonts w:eastAsiaTheme="minorHAnsi"/>
                <w:color w:val="000000"/>
                <w:sz w:val="18"/>
                <w:szCs w:val="18"/>
              </w:rPr>
            </w:pPr>
            <w:r w:rsidRPr="00250E49">
              <w:rPr>
                <w:rFonts w:eastAsiaTheme="minorHAnsi"/>
                <w:color w:val="000000"/>
                <w:sz w:val="18"/>
                <w:szCs w:val="18"/>
              </w:rPr>
              <w:t xml:space="preserve">31 </w:t>
            </w:r>
            <w:r w:rsidR="0025082C">
              <w:rPr>
                <w:rFonts w:eastAsiaTheme="minorHAnsi"/>
                <w:color w:val="000000"/>
                <w:sz w:val="18"/>
                <w:szCs w:val="18"/>
              </w:rPr>
              <w:t xml:space="preserve">august </w:t>
            </w:r>
            <w:r w:rsidRPr="00250E49">
              <w:rPr>
                <w:rFonts w:eastAsiaTheme="minorHAnsi"/>
                <w:color w:val="000000"/>
                <w:sz w:val="18"/>
                <w:szCs w:val="18"/>
              </w:rPr>
              <w:t>20</w:t>
            </w:r>
            <w:r w:rsidR="0025082C">
              <w:rPr>
                <w:rFonts w:eastAsiaTheme="minorHAnsi"/>
                <w:color w:val="000000"/>
                <w:sz w:val="18"/>
                <w:szCs w:val="18"/>
              </w:rPr>
              <w:t>20</w:t>
            </w:r>
          </w:p>
        </w:tc>
        <w:tc>
          <w:tcPr>
            <w:tcW w:w="640" w:type="pct"/>
            <w:tcBorders>
              <w:top w:val="nil"/>
              <w:left w:val="nil"/>
              <w:bottom w:val="single" w:sz="4" w:space="0" w:color="auto"/>
              <w:right w:val="nil"/>
            </w:tcBorders>
            <w:vAlign w:val="center"/>
          </w:tcPr>
          <w:p w:rsidR="00ED4F62" w:rsidRPr="00250E49" w:rsidRDefault="00ED4F62" w:rsidP="00DA6306">
            <w:pPr>
              <w:autoSpaceDE w:val="0"/>
              <w:autoSpaceDN w:val="0"/>
              <w:adjustRightInd w:val="0"/>
              <w:rPr>
                <w:rFonts w:eastAsiaTheme="minorHAnsi"/>
                <w:color w:val="000000"/>
                <w:sz w:val="18"/>
                <w:szCs w:val="18"/>
              </w:rPr>
            </w:pPr>
            <w:r w:rsidRPr="00250E49">
              <w:rPr>
                <w:rFonts w:eastAsiaTheme="minorHAnsi"/>
                <w:color w:val="000000"/>
                <w:sz w:val="18"/>
                <w:szCs w:val="18"/>
              </w:rPr>
              <w:t>Monitorul Oficial al României Partea I</w:t>
            </w:r>
          </w:p>
        </w:tc>
        <w:tc>
          <w:tcPr>
            <w:tcW w:w="368" w:type="pct"/>
            <w:tcBorders>
              <w:top w:val="nil"/>
              <w:left w:val="nil"/>
              <w:bottom w:val="single" w:sz="6" w:space="0" w:color="auto"/>
              <w:right w:val="nil"/>
            </w:tcBorders>
            <w:vAlign w:val="center"/>
          </w:tcPr>
          <w:p w:rsidR="00ED4F62" w:rsidRPr="00250E49" w:rsidRDefault="00ED4F62" w:rsidP="00DA6306">
            <w:pPr>
              <w:autoSpaceDE w:val="0"/>
              <w:autoSpaceDN w:val="0"/>
              <w:adjustRightInd w:val="0"/>
              <w:rPr>
                <w:rFonts w:eastAsiaTheme="minorHAnsi"/>
                <w:color w:val="000000"/>
                <w:sz w:val="18"/>
                <w:szCs w:val="18"/>
              </w:rPr>
            </w:pPr>
            <w:r w:rsidRPr="00250E49">
              <w:rPr>
                <w:rFonts w:eastAsiaTheme="minorHAnsi"/>
                <w:color w:val="000000"/>
                <w:sz w:val="18"/>
                <w:szCs w:val="18"/>
              </w:rPr>
              <w:t>Impactul bugetar depinde de tipul de scrutin</w:t>
            </w:r>
          </w:p>
        </w:tc>
      </w:tr>
      <w:tr w:rsidR="00D5475A" w:rsidRPr="00250E49" w:rsidTr="0025082C">
        <w:trPr>
          <w:trHeight w:val="1641"/>
        </w:trPr>
        <w:tc>
          <w:tcPr>
            <w:tcW w:w="435"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Măsura 1.2.2.</w:t>
            </w:r>
          </w:p>
        </w:tc>
        <w:tc>
          <w:tcPr>
            <w:tcW w:w="618"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Direcția generală sistemul informațional electoral național</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Departamentul suport organizatoric electoral</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xml:space="preserve">• Direcția generală logistică și resurse electorale </w:t>
            </w:r>
          </w:p>
        </w:tc>
        <w:tc>
          <w:tcPr>
            <w:tcW w:w="814"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Îmbunătăţirea mecanismelor normative şi administrative de selecţie şi evaluare a experţilor electorali și a operatorilor de calculator, precum şi implementarea acestora</w:t>
            </w:r>
          </w:p>
        </w:tc>
        <w:tc>
          <w:tcPr>
            <w:tcW w:w="911"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propunerilor de modificare a actelor normative elaborate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procedurilor elaborate şi implementate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Creşterea profesionalismului experţilor electorali</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Modul de evaluare on-line</w:t>
            </w:r>
          </w:p>
        </w:tc>
        <w:tc>
          <w:tcPr>
            <w:tcW w:w="607"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Nealocarea resurselor umane şi financiare necesare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Nivel scăzut de participare şi implicare</w:t>
            </w:r>
          </w:p>
        </w:tc>
        <w:tc>
          <w:tcPr>
            <w:tcW w:w="607"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Permanent</w:t>
            </w:r>
          </w:p>
        </w:tc>
        <w:tc>
          <w:tcPr>
            <w:tcW w:w="640"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Site-ul instituţiei</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Rapoarte de activitate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Evaluări post-participare</w:t>
            </w:r>
          </w:p>
          <w:p w:rsidR="00D5475A" w:rsidRPr="00250E49" w:rsidRDefault="00D5475A" w:rsidP="00D5475A">
            <w:pPr>
              <w:autoSpaceDE w:val="0"/>
              <w:autoSpaceDN w:val="0"/>
              <w:adjustRightInd w:val="0"/>
              <w:rPr>
                <w:rFonts w:eastAsiaTheme="minorHAnsi"/>
                <w:color w:val="000000"/>
                <w:sz w:val="18"/>
                <w:szCs w:val="18"/>
              </w:rPr>
            </w:pPr>
          </w:p>
        </w:tc>
        <w:tc>
          <w:tcPr>
            <w:tcW w:w="368"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Bugetul curent</w:t>
            </w:r>
          </w:p>
        </w:tc>
      </w:tr>
      <w:tr w:rsidR="00D5475A" w:rsidRPr="00250E49" w:rsidTr="008A2C36">
        <w:trPr>
          <w:trHeight w:val="270"/>
        </w:trPr>
        <w:tc>
          <w:tcPr>
            <w:tcW w:w="435"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Măsura 1.2.3.</w:t>
            </w:r>
          </w:p>
        </w:tc>
        <w:tc>
          <w:tcPr>
            <w:tcW w:w="618"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Departamentul suport organizatoric electoral</w:t>
            </w:r>
          </w:p>
          <w:p w:rsidR="00D56666" w:rsidRPr="00250E49" w:rsidRDefault="00D56666" w:rsidP="00D5475A">
            <w:pPr>
              <w:autoSpaceDE w:val="0"/>
              <w:autoSpaceDN w:val="0"/>
              <w:adjustRightInd w:val="0"/>
              <w:rPr>
                <w:rFonts w:eastAsiaTheme="minorHAnsi"/>
                <w:color w:val="000000"/>
                <w:sz w:val="18"/>
                <w:szCs w:val="18"/>
              </w:rPr>
            </w:pPr>
            <w:r w:rsidRPr="00250E49">
              <w:rPr>
                <w:rFonts w:eastAsiaTheme="minorHAnsi"/>
                <w:color w:val="000000"/>
                <w:sz w:val="18"/>
                <w:szCs w:val="18"/>
              </w:rPr>
              <w:t>• Direcția generală sistemul informațional electoral național</w:t>
            </w:r>
          </w:p>
        </w:tc>
        <w:tc>
          <w:tcPr>
            <w:tcW w:w="814"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Elaborarea şi implementarea unui modul de formare continuă a experţilor electorali, precum și a operatorilor de calculator</w:t>
            </w:r>
          </w:p>
        </w:tc>
        <w:tc>
          <w:tcPr>
            <w:tcW w:w="911"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seminariilor organizate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modulelor de instruire on-line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ghidurilor elaborate şi publicate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persoanelor formate</w:t>
            </w:r>
          </w:p>
        </w:tc>
        <w:tc>
          <w:tcPr>
            <w:tcW w:w="607"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Nealocarea resurselor umane şi financiare necesare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Nivel scăzut de participare şi implicare</w:t>
            </w:r>
          </w:p>
          <w:p w:rsidR="00D5475A" w:rsidRPr="00250E49" w:rsidRDefault="00D5475A" w:rsidP="00D5475A">
            <w:pPr>
              <w:autoSpaceDE w:val="0"/>
              <w:autoSpaceDN w:val="0"/>
              <w:adjustRightInd w:val="0"/>
              <w:rPr>
                <w:rFonts w:eastAsiaTheme="minorHAnsi"/>
                <w:color w:val="000000"/>
                <w:sz w:val="18"/>
                <w:szCs w:val="18"/>
              </w:rPr>
            </w:pPr>
          </w:p>
        </w:tc>
        <w:tc>
          <w:tcPr>
            <w:tcW w:w="607"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xml:space="preserve">Până la </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31 decembrie 2019</w:t>
            </w:r>
          </w:p>
        </w:tc>
        <w:tc>
          <w:tcPr>
            <w:tcW w:w="640"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Site-ul instituţiei</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Rapoarte de activitate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Evaluări post-participare</w:t>
            </w:r>
          </w:p>
          <w:p w:rsidR="00D5475A" w:rsidRPr="00250E49" w:rsidRDefault="00D5475A" w:rsidP="00D5475A">
            <w:pPr>
              <w:autoSpaceDE w:val="0"/>
              <w:autoSpaceDN w:val="0"/>
              <w:adjustRightInd w:val="0"/>
              <w:rPr>
                <w:rFonts w:eastAsiaTheme="minorHAnsi"/>
                <w:color w:val="000000"/>
                <w:sz w:val="18"/>
                <w:szCs w:val="18"/>
              </w:rPr>
            </w:pPr>
          </w:p>
        </w:tc>
        <w:tc>
          <w:tcPr>
            <w:tcW w:w="368"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Bugetul curent</w:t>
            </w:r>
          </w:p>
        </w:tc>
      </w:tr>
      <w:tr w:rsidR="00D5475A" w:rsidRPr="00250E49" w:rsidTr="0025082C">
        <w:trPr>
          <w:trHeight w:val="413"/>
        </w:trPr>
        <w:tc>
          <w:tcPr>
            <w:tcW w:w="435" w:type="pct"/>
            <w:tcBorders>
              <w:top w:val="single" w:sz="6" w:space="0" w:color="auto"/>
              <w:left w:val="nil"/>
              <w:bottom w:val="single" w:sz="4"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lastRenderedPageBreak/>
              <w:t>Măsura 1.2.4.</w:t>
            </w:r>
          </w:p>
        </w:tc>
        <w:tc>
          <w:tcPr>
            <w:tcW w:w="618" w:type="pct"/>
            <w:tcBorders>
              <w:top w:val="single" w:sz="6" w:space="0" w:color="auto"/>
              <w:left w:val="nil"/>
              <w:bottom w:val="single" w:sz="4" w:space="0" w:color="auto"/>
              <w:right w:val="nil"/>
            </w:tcBorders>
            <w:shd w:val="solid" w:color="FFFFFF" w:fill="auto"/>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Direcția generală logistică și resurse electorale</w:t>
            </w:r>
          </w:p>
        </w:tc>
        <w:tc>
          <w:tcPr>
            <w:tcW w:w="814" w:type="pct"/>
            <w:tcBorders>
              <w:top w:val="single" w:sz="6" w:space="0" w:color="auto"/>
              <w:left w:val="nil"/>
              <w:bottom w:val="single" w:sz="4"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Centralizarea sancţiunilor aplicate pentru încălcarea legislaţiei electorale de către persoane aflate în evidențele AEP ca operatori de calculator sau experți electorali</w:t>
            </w:r>
          </w:p>
        </w:tc>
        <w:tc>
          <w:tcPr>
            <w:tcW w:w="911" w:type="pct"/>
            <w:tcBorders>
              <w:top w:val="single" w:sz="6" w:space="0" w:color="auto"/>
              <w:left w:val="nil"/>
              <w:bottom w:val="single" w:sz="4"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comunicărilor furnizate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persoanelor sancţionate</w:t>
            </w:r>
          </w:p>
        </w:tc>
        <w:tc>
          <w:tcPr>
            <w:tcW w:w="607" w:type="pct"/>
            <w:tcBorders>
              <w:top w:val="single" w:sz="6" w:space="0" w:color="auto"/>
              <w:left w:val="nil"/>
              <w:bottom w:val="single" w:sz="4"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Furnizarea de informații inexacte, incomplete sau cu întârziere de către instituţiile care le deţin</w:t>
            </w:r>
          </w:p>
        </w:tc>
        <w:tc>
          <w:tcPr>
            <w:tcW w:w="607" w:type="pct"/>
            <w:tcBorders>
              <w:top w:val="single" w:sz="6" w:space="0" w:color="auto"/>
              <w:left w:val="nil"/>
              <w:bottom w:val="single" w:sz="4"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Permanent</w:t>
            </w:r>
          </w:p>
        </w:tc>
        <w:tc>
          <w:tcPr>
            <w:tcW w:w="640" w:type="pct"/>
            <w:tcBorders>
              <w:top w:val="single" w:sz="6" w:space="0" w:color="auto"/>
              <w:left w:val="nil"/>
              <w:bottom w:val="single" w:sz="4"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Site-ul instituţiei</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Rapoarte de activitate</w:t>
            </w:r>
          </w:p>
        </w:tc>
        <w:tc>
          <w:tcPr>
            <w:tcW w:w="368" w:type="pct"/>
            <w:tcBorders>
              <w:top w:val="single" w:sz="6" w:space="0" w:color="auto"/>
              <w:left w:val="nil"/>
              <w:bottom w:val="single" w:sz="4"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Bugetul curent</w:t>
            </w:r>
          </w:p>
        </w:tc>
      </w:tr>
      <w:tr w:rsidR="00D5475A" w:rsidRPr="00250E49" w:rsidTr="008A2C36">
        <w:trPr>
          <w:trHeight w:val="1882"/>
        </w:trPr>
        <w:tc>
          <w:tcPr>
            <w:tcW w:w="435" w:type="pct"/>
            <w:tcBorders>
              <w:top w:val="single" w:sz="4" w:space="0" w:color="auto"/>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Măsura 1.2.5.</w:t>
            </w:r>
          </w:p>
        </w:tc>
        <w:tc>
          <w:tcPr>
            <w:tcW w:w="618" w:type="pct"/>
            <w:tcBorders>
              <w:top w:val="single" w:sz="4" w:space="0" w:color="auto"/>
              <w:left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Direcția generală logistică și resurse electorale</w:t>
            </w:r>
          </w:p>
        </w:tc>
        <w:tc>
          <w:tcPr>
            <w:tcW w:w="814" w:type="pct"/>
            <w:tcBorders>
              <w:top w:val="single" w:sz="4" w:space="0" w:color="auto"/>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Admiterea în Corpul Experţilor Electorali  a persoanelor care respectă cerinţele de integritate, prevăzute de lege şi excluderea imediată din acesta a persoanelor care au încălcat legislaţia electorală</w:t>
            </w:r>
          </w:p>
        </w:tc>
        <w:tc>
          <w:tcPr>
            <w:tcW w:w="911" w:type="pct"/>
            <w:tcBorders>
              <w:top w:val="single" w:sz="4" w:space="0" w:color="auto"/>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deciziilor de admitere în Corpul experţilor electorali</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deciziilor de constatare a încetării calităţii de expert electoral</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deciziilor de excludere din Corpul experţilor electorali</w:t>
            </w:r>
          </w:p>
        </w:tc>
        <w:tc>
          <w:tcPr>
            <w:tcW w:w="607" w:type="pct"/>
            <w:tcBorders>
              <w:top w:val="single" w:sz="4" w:space="0" w:color="auto"/>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Furnizarea de informații inexacte, incomplete sau cu întârziere de către instituţiile care le deţin</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Neaplicarea sancţiunilor de către instituţiile competente</w:t>
            </w:r>
          </w:p>
        </w:tc>
        <w:tc>
          <w:tcPr>
            <w:tcW w:w="607" w:type="pct"/>
            <w:tcBorders>
              <w:top w:val="single" w:sz="4" w:space="0" w:color="auto"/>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Permanent</w:t>
            </w:r>
          </w:p>
        </w:tc>
        <w:tc>
          <w:tcPr>
            <w:tcW w:w="640" w:type="pct"/>
            <w:tcBorders>
              <w:top w:val="single" w:sz="4" w:space="0" w:color="auto"/>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Site-ul instituţiei</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Rapoarte de activitate</w:t>
            </w:r>
          </w:p>
        </w:tc>
        <w:tc>
          <w:tcPr>
            <w:tcW w:w="368" w:type="pct"/>
            <w:tcBorders>
              <w:top w:val="single" w:sz="4" w:space="0" w:color="auto"/>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Bugetul curent</w:t>
            </w:r>
          </w:p>
        </w:tc>
      </w:tr>
      <w:tr w:rsidR="00D5475A" w:rsidRPr="00250E49" w:rsidTr="0025082C">
        <w:trPr>
          <w:trHeight w:val="463"/>
        </w:trPr>
        <w:tc>
          <w:tcPr>
            <w:tcW w:w="435" w:type="pct"/>
            <w:tcBorders>
              <w:top w:val="nil"/>
              <w:left w:val="nil"/>
              <w:bottom w:val="nil"/>
              <w:right w:val="nil"/>
            </w:tcBorders>
            <w:shd w:val="solid" w:color="99CCFF" w:fill="auto"/>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Obiectivul specific 1.3.</w:t>
            </w:r>
          </w:p>
        </w:tc>
        <w:tc>
          <w:tcPr>
            <w:tcW w:w="4565" w:type="pct"/>
            <w:gridSpan w:val="7"/>
            <w:tcBorders>
              <w:top w:val="nil"/>
              <w:left w:val="nil"/>
              <w:bottom w:val="nil"/>
              <w:right w:val="nil"/>
            </w:tcBorders>
            <w:shd w:val="solid" w:color="99CCFF" w:fill="auto"/>
            <w:vAlign w:val="center"/>
          </w:tcPr>
          <w:p w:rsidR="00D5475A" w:rsidRPr="00250E49" w:rsidRDefault="00D5475A" w:rsidP="00D5475A">
            <w:pPr>
              <w:autoSpaceDE w:val="0"/>
              <w:autoSpaceDN w:val="0"/>
              <w:adjustRightInd w:val="0"/>
              <w:jc w:val="center"/>
              <w:rPr>
                <w:rFonts w:eastAsiaTheme="minorHAnsi"/>
                <w:color w:val="000000"/>
                <w:sz w:val="18"/>
                <w:szCs w:val="18"/>
              </w:rPr>
            </w:pPr>
            <w:r w:rsidRPr="00250E49">
              <w:rPr>
                <w:rFonts w:eastAsiaTheme="minorHAnsi"/>
                <w:color w:val="000000"/>
                <w:sz w:val="18"/>
                <w:szCs w:val="18"/>
              </w:rPr>
              <w:t>Consolidarea mecanismelor de control administrativ şi îmbunătățirea capacității de gestionare a eșecului de management și a incidentelor de integritate prin corelarea instrumentelor care au impact asupra identificării timpurii a riscurilor și vulnerabilităților instituționale</w:t>
            </w:r>
          </w:p>
        </w:tc>
      </w:tr>
      <w:tr w:rsidR="00D5475A" w:rsidRPr="00250E49" w:rsidTr="0025082C">
        <w:trPr>
          <w:trHeight w:val="1098"/>
        </w:trPr>
        <w:tc>
          <w:tcPr>
            <w:tcW w:w="435" w:type="pct"/>
            <w:tcBorders>
              <w:top w:val="nil"/>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Măsura 1.3.1.</w:t>
            </w:r>
          </w:p>
        </w:tc>
        <w:tc>
          <w:tcPr>
            <w:tcW w:w="618" w:type="pct"/>
            <w:tcBorders>
              <w:top w:val="nil"/>
              <w:left w:val="nil"/>
              <w:bottom w:val="single" w:sz="6" w:space="0" w:color="auto"/>
              <w:right w:val="nil"/>
            </w:tcBorders>
            <w:shd w:val="solid" w:color="FFFFFF" w:fill="auto"/>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Serviciul audit public intern</w:t>
            </w:r>
          </w:p>
        </w:tc>
        <w:tc>
          <w:tcPr>
            <w:tcW w:w="814" w:type="pct"/>
            <w:tcBorders>
              <w:top w:val="nil"/>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Auditarea internă, o dată la doi ani, a sistemului de prevenire a corupţiei la nivelul instituției</w:t>
            </w:r>
          </w:p>
        </w:tc>
        <w:tc>
          <w:tcPr>
            <w:tcW w:w="911" w:type="pct"/>
            <w:tcBorders>
              <w:top w:val="nil"/>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de recomandări formulate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Gradul de implementare a recomandărilor formulate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Structuri de audit consolidate</w:t>
            </w:r>
          </w:p>
        </w:tc>
        <w:tc>
          <w:tcPr>
            <w:tcW w:w="607" w:type="pct"/>
            <w:tcBorders>
              <w:top w:val="nil"/>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Nealocarea resurselor umane necesare</w:t>
            </w:r>
          </w:p>
        </w:tc>
        <w:tc>
          <w:tcPr>
            <w:tcW w:w="607" w:type="pct"/>
            <w:tcBorders>
              <w:top w:val="nil"/>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O dată la doi ani</w:t>
            </w:r>
          </w:p>
        </w:tc>
        <w:tc>
          <w:tcPr>
            <w:tcW w:w="640" w:type="pct"/>
            <w:tcBorders>
              <w:top w:val="nil"/>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Rapoarte anuale de activitate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Rapoarte de audit</w:t>
            </w:r>
          </w:p>
        </w:tc>
        <w:tc>
          <w:tcPr>
            <w:tcW w:w="368" w:type="pct"/>
            <w:tcBorders>
              <w:top w:val="nil"/>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Bugetul curent</w:t>
            </w:r>
          </w:p>
        </w:tc>
      </w:tr>
      <w:tr w:rsidR="00D5475A" w:rsidRPr="00250E49" w:rsidTr="008A2C36">
        <w:trPr>
          <w:trHeight w:val="121"/>
        </w:trPr>
        <w:tc>
          <w:tcPr>
            <w:tcW w:w="435"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Măsura 1.3.2.</w:t>
            </w:r>
          </w:p>
        </w:tc>
        <w:tc>
          <w:tcPr>
            <w:tcW w:w="618" w:type="pct"/>
            <w:tcBorders>
              <w:top w:val="single" w:sz="6" w:space="0" w:color="auto"/>
              <w:left w:val="nil"/>
              <w:bottom w:val="single" w:sz="6" w:space="0" w:color="auto"/>
              <w:right w:val="nil"/>
            </w:tcBorders>
            <w:shd w:val="solid" w:color="FFFFFF" w:fill="auto"/>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Preşedinte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Direcția generală juridică și resurse umane</w:t>
            </w:r>
          </w:p>
        </w:tc>
        <w:tc>
          <w:tcPr>
            <w:tcW w:w="814"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Consolidarea mecanismelor de control administrativ intern prin aplicarea de sancţiuni disciplinare cu caracter disuasiv pentru încălcarea standardelor etice şi de conduită anticorupţie la nivelul tuturor funcţiilor şi demnităţilor publice</w:t>
            </w:r>
          </w:p>
        </w:tc>
        <w:tc>
          <w:tcPr>
            <w:tcW w:w="911"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de sesizări primite, din care</w:t>
            </w:r>
            <w:r w:rsidRPr="00250E49">
              <w:rPr>
                <w:rFonts w:eastAsiaTheme="minorHAnsi"/>
                <w:color w:val="000000"/>
                <w:sz w:val="18"/>
                <w:szCs w:val="18"/>
                <w:lang w:val="fr-FR"/>
              </w:rPr>
              <w:t xml:space="preserve">: nr. </w:t>
            </w:r>
            <w:r w:rsidRPr="00250E49">
              <w:rPr>
                <w:rFonts w:eastAsiaTheme="minorHAnsi"/>
                <w:color w:val="000000"/>
                <w:sz w:val="18"/>
                <w:szCs w:val="18"/>
              </w:rPr>
              <w:t>sesizări în curs de soluţionare și nr. sesizări soluţionate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şi tipul de sancţiuni aplicate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de decizii ale comisiei anulate sau modificate în instanţă</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de persoane care au săvârşit în mod repetat abateri de la normele respective</w:t>
            </w:r>
          </w:p>
        </w:tc>
        <w:tc>
          <w:tcPr>
            <w:tcW w:w="607"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Caracter formal al activităţii comisiilor de disciplină</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Orientarea practicii comisiilor spre cele mai uşoare sancţiuni</w:t>
            </w:r>
          </w:p>
        </w:tc>
        <w:tc>
          <w:tcPr>
            <w:tcW w:w="607"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Permanent</w:t>
            </w:r>
          </w:p>
        </w:tc>
        <w:tc>
          <w:tcPr>
            <w:tcW w:w="640"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Comisie de disciplină  operaţională</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Decizii ale comisiei</w:t>
            </w:r>
          </w:p>
        </w:tc>
        <w:tc>
          <w:tcPr>
            <w:tcW w:w="368"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Bugetul curent</w:t>
            </w:r>
          </w:p>
        </w:tc>
      </w:tr>
      <w:tr w:rsidR="00D5475A" w:rsidRPr="00250E49" w:rsidTr="0025082C">
        <w:trPr>
          <w:trHeight w:val="1969"/>
        </w:trPr>
        <w:tc>
          <w:tcPr>
            <w:tcW w:w="435"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Măsura 1.3.3.</w:t>
            </w:r>
          </w:p>
        </w:tc>
        <w:tc>
          <w:tcPr>
            <w:tcW w:w="618"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Preşedinte</w:t>
            </w:r>
          </w:p>
        </w:tc>
        <w:tc>
          <w:tcPr>
            <w:tcW w:w="814"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Stabilirea de ținte de management pentru funcțiile de conducere privind gradul de conformitate administrativă și de implementare a standardelor legale de integritate, precum și aplicarea corelativă de măsuri manageriale corective</w:t>
            </w:r>
          </w:p>
        </w:tc>
        <w:tc>
          <w:tcPr>
            <w:tcW w:w="911"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de ținte de management stabilite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și tipul de măsuri manageriale corective aplicate</w:t>
            </w:r>
          </w:p>
        </w:tc>
        <w:tc>
          <w:tcPr>
            <w:tcW w:w="607"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Caracter formal al măsurii</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Orientarea practicii comisiilor spre cele mai uşoare sancţiuni</w:t>
            </w:r>
          </w:p>
        </w:tc>
        <w:tc>
          <w:tcPr>
            <w:tcW w:w="607"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Anual</w:t>
            </w:r>
          </w:p>
        </w:tc>
        <w:tc>
          <w:tcPr>
            <w:tcW w:w="640" w:type="pct"/>
            <w:tcBorders>
              <w:top w:val="single" w:sz="6" w:space="0" w:color="auto"/>
              <w:left w:val="nil"/>
              <w:bottom w:val="single" w:sz="6" w:space="0" w:color="auto"/>
              <w:right w:val="nil"/>
            </w:tcBorders>
            <w:shd w:val="solid" w:color="FFFFFF" w:fill="auto"/>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Site-ul oficial al AEP</w:t>
            </w:r>
          </w:p>
        </w:tc>
        <w:tc>
          <w:tcPr>
            <w:tcW w:w="368"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Bugetul curent</w:t>
            </w:r>
          </w:p>
        </w:tc>
      </w:tr>
      <w:tr w:rsidR="00D5475A" w:rsidRPr="00250E49" w:rsidTr="008A2C36">
        <w:trPr>
          <w:trHeight w:val="1830"/>
        </w:trPr>
        <w:tc>
          <w:tcPr>
            <w:tcW w:w="435"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lastRenderedPageBreak/>
              <w:t>Măsura 1.3.4.</w:t>
            </w:r>
          </w:p>
        </w:tc>
        <w:tc>
          <w:tcPr>
            <w:tcW w:w="618"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Compartimentele cu atribuţii de control</w:t>
            </w:r>
          </w:p>
        </w:tc>
        <w:tc>
          <w:tcPr>
            <w:tcW w:w="814"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Creşterea ponderii acţiunilor de control în zonele expuse la corupţie</w:t>
            </w:r>
          </w:p>
        </w:tc>
        <w:tc>
          <w:tcPr>
            <w:tcW w:w="911"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Rapoarte de control</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sesizărilor către organele de urmărire penală</w:t>
            </w:r>
          </w:p>
        </w:tc>
        <w:tc>
          <w:tcPr>
            <w:tcW w:w="607"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xml:space="preserve">• Furnizarea de informații inexacte, incomplete sau cu întârziere </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Lipsa desemnării persoanelor responsabile pentru implementarea măsurii</w:t>
            </w:r>
          </w:p>
        </w:tc>
        <w:tc>
          <w:tcPr>
            <w:tcW w:w="607"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Permanent</w:t>
            </w:r>
          </w:p>
        </w:tc>
        <w:tc>
          <w:tcPr>
            <w:tcW w:w="640"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Rapoarte de activitate</w:t>
            </w:r>
          </w:p>
        </w:tc>
        <w:tc>
          <w:tcPr>
            <w:tcW w:w="368"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Bugetul curent</w:t>
            </w:r>
          </w:p>
        </w:tc>
      </w:tr>
      <w:tr w:rsidR="00D5475A" w:rsidRPr="00250E49" w:rsidTr="0025082C">
        <w:trPr>
          <w:trHeight w:val="1967"/>
        </w:trPr>
        <w:tc>
          <w:tcPr>
            <w:tcW w:w="435"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Măsura 1.3.5.</w:t>
            </w:r>
          </w:p>
        </w:tc>
        <w:tc>
          <w:tcPr>
            <w:tcW w:w="618"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Compartimentele cu atribuţii de control</w:t>
            </w:r>
          </w:p>
        </w:tc>
        <w:tc>
          <w:tcPr>
            <w:tcW w:w="814"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Valorificarea rezultatelor activităţilor de control intern prin sesizarea organelor judiciare competente</w:t>
            </w:r>
          </w:p>
        </w:tc>
        <w:tc>
          <w:tcPr>
            <w:tcW w:w="911"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Numărul sesizărilor către organele de urmărire penală</w:t>
            </w:r>
          </w:p>
        </w:tc>
        <w:tc>
          <w:tcPr>
            <w:tcW w:w="607"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xml:space="preserve">• Furnizarea de informații inexacte, incomplete sau cu întârziere </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Lipsa desemnării persoanelor responsabile pentru implementarea măsurii</w:t>
            </w:r>
          </w:p>
        </w:tc>
        <w:tc>
          <w:tcPr>
            <w:tcW w:w="607"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Permanent</w:t>
            </w:r>
          </w:p>
        </w:tc>
        <w:tc>
          <w:tcPr>
            <w:tcW w:w="640"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Rapoarte de activitate</w:t>
            </w:r>
          </w:p>
        </w:tc>
        <w:tc>
          <w:tcPr>
            <w:tcW w:w="368"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Bugetul curent</w:t>
            </w:r>
          </w:p>
        </w:tc>
      </w:tr>
      <w:tr w:rsidR="00D5475A" w:rsidRPr="00250E49" w:rsidTr="0025082C">
        <w:trPr>
          <w:trHeight w:val="1969"/>
        </w:trPr>
        <w:tc>
          <w:tcPr>
            <w:tcW w:w="435"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Măsura 1.3.6.</w:t>
            </w:r>
          </w:p>
        </w:tc>
        <w:tc>
          <w:tcPr>
            <w:tcW w:w="618" w:type="pct"/>
            <w:tcBorders>
              <w:top w:val="single" w:sz="6" w:space="0" w:color="auto"/>
              <w:left w:val="nil"/>
              <w:bottom w:val="single" w:sz="6" w:space="0" w:color="auto"/>
              <w:right w:val="nil"/>
            </w:tcBorders>
            <w:shd w:val="solid" w:color="FFFFFF" w:fill="auto"/>
            <w:vAlign w:val="center"/>
          </w:tcPr>
          <w:p w:rsidR="00D5475A" w:rsidRPr="00250E49" w:rsidRDefault="00D56666" w:rsidP="00D5475A">
            <w:pPr>
              <w:autoSpaceDE w:val="0"/>
              <w:autoSpaceDN w:val="0"/>
              <w:adjustRightInd w:val="0"/>
              <w:rPr>
                <w:rFonts w:eastAsiaTheme="minorHAnsi"/>
                <w:color w:val="000000"/>
                <w:sz w:val="18"/>
                <w:szCs w:val="18"/>
              </w:rPr>
            </w:pPr>
            <w:r w:rsidRPr="00250E49">
              <w:rPr>
                <w:rFonts w:eastAsiaTheme="minorHAnsi"/>
                <w:color w:val="000000"/>
                <w:sz w:val="18"/>
                <w:szCs w:val="18"/>
              </w:rPr>
              <w:t>Departamentul de control al finanţării partidelor politice şi a campaniilor electorale</w:t>
            </w:r>
          </w:p>
        </w:tc>
        <w:tc>
          <w:tcPr>
            <w:tcW w:w="814"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Publicarea pe site-ul oficial al AEP a listei integrale de amenzi şi a celorlalte măsuri administrative aplicate</w:t>
            </w:r>
          </w:p>
        </w:tc>
        <w:tc>
          <w:tcPr>
            <w:tcW w:w="911"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Documente publicate</w:t>
            </w:r>
          </w:p>
        </w:tc>
        <w:tc>
          <w:tcPr>
            <w:tcW w:w="607"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xml:space="preserve">• Furnizarea de informații inexacte, incomplete sau cu întârziere </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Lipsa desemnării persoanelor responsabile pentru implementarea măsurii</w:t>
            </w:r>
          </w:p>
        </w:tc>
        <w:tc>
          <w:tcPr>
            <w:tcW w:w="607"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Permanent</w:t>
            </w:r>
          </w:p>
        </w:tc>
        <w:tc>
          <w:tcPr>
            <w:tcW w:w="640"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Site-ul oficial al AEP</w:t>
            </w:r>
          </w:p>
        </w:tc>
        <w:tc>
          <w:tcPr>
            <w:tcW w:w="368" w:type="pct"/>
            <w:tcBorders>
              <w:top w:val="single" w:sz="6" w:space="0" w:color="auto"/>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Bugetul curent</w:t>
            </w:r>
          </w:p>
        </w:tc>
      </w:tr>
      <w:tr w:rsidR="00D5475A" w:rsidRPr="00250E49" w:rsidTr="0025082C">
        <w:trPr>
          <w:trHeight w:val="1115"/>
        </w:trPr>
        <w:tc>
          <w:tcPr>
            <w:tcW w:w="435" w:type="pct"/>
            <w:tcBorders>
              <w:top w:val="nil"/>
              <w:left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Măsura 1.3.7.</w:t>
            </w:r>
          </w:p>
        </w:tc>
        <w:tc>
          <w:tcPr>
            <w:tcW w:w="618" w:type="pct"/>
            <w:tcBorders>
              <w:top w:val="nil"/>
              <w:left w:val="nil"/>
              <w:right w:val="nil"/>
            </w:tcBorders>
            <w:shd w:val="solid" w:color="FFFFFF" w:fill="auto"/>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Direcția financiară și salarizare</w:t>
            </w:r>
          </w:p>
        </w:tc>
        <w:tc>
          <w:tcPr>
            <w:tcW w:w="814" w:type="pct"/>
            <w:tcBorders>
              <w:top w:val="nil"/>
              <w:left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Utilizarea infrastructurii dezvoltate în cadrul sistemului național de raportare potrivit prevederilor OUG nr. 88/2013</w:t>
            </w:r>
          </w:p>
        </w:tc>
        <w:tc>
          <w:tcPr>
            <w:tcW w:w="911" w:type="pct"/>
            <w:tcBorders>
              <w:top w:val="nil"/>
              <w:left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Numărul raportărilor</w:t>
            </w:r>
          </w:p>
        </w:tc>
        <w:tc>
          <w:tcPr>
            <w:tcW w:w="607" w:type="pct"/>
            <w:tcBorders>
              <w:top w:val="nil"/>
              <w:left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Furnizarea de informații inexacte, incomplete sau cu întârziere</w:t>
            </w:r>
          </w:p>
        </w:tc>
        <w:tc>
          <w:tcPr>
            <w:tcW w:w="607" w:type="pct"/>
            <w:tcBorders>
              <w:top w:val="nil"/>
              <w:left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Permanent</w:t>
            </w:r>
          </w:p>
        </w:tc>
        <w:tc>
          <w:tcPr>
            <w:tcW w:w="640" w:type="pct"/>
            <w:tcBorders>
              <w:top w:val="nil"/>
              <w:left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Rapoarte MFP</w:t>
            </w:r>
          </w:p>
        </w:tc>
        <w:tc>
          <w:tcPr>
            <w:tcW w:w="368" w:type="pct"/>
            <w:tcBorders>
              <w:top w:val="nil"/>
              <w:left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Bugetul curent</w:t>
            </w:r>
          </w:p>
        </w:tc>
      </w:tr>
      <w:tr w:rsidR="00D5475A" w:rsidRPr="00250E49" w:rsidTr="0025082C">
        <w:trPr>
          <w:trHeight w:val="463"/>
        </w:trPr>
        <w:tc>
          <w:tcPr>
            <w:tcW w:w="435" w:type="pct"/>
            <w:tcBorders>
              <w:top w:val="nil"/>
              <w:left w:val="nil"/>
              <w:right w:val="nil"/>
            </w:tcBorders>
            <w:shd w:val="solid" w:color="99CCFF" w:fill="auto"/>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Obiectivul specific 1.4.</w:t>
            </w:r>
          </w:p>
        </w:tc>
        <w:tc>
          <w:tcPr>
            <w:tcW w:w="4565" w:type="pct"/>
            <w:gridSpan w:val="7"/>
            <w:tcBorders>
              <w:top w:val="nil"/>
              <w:left w:val="nil"/>
              <w:right w:val="nil"/>
            </w:tcBorders>
            <w:shd w:val="solid" w:color="99CCFF" w:fill="auto"/>
            <w:vAlign w:val="center"/>
          </w:tcPr>
          <w:p w:rsidR="00D5475A" w:rsidRPr="00250E49" w:rsidRDefault="00D5475A" w:rsidP="00D5475A">
            <w:pPr>
              <w:autoSpaceDE w:val="0"/>
              <w:autoSpaceDN w:val="0"/>
              <w:adjustRightInd w:val="0"/>
              <w:jc w:val="center"/>
              <w:rPr>
                <w:rFonts w:eastAsiaTheme="minorHAnsi"/>
                <w:color w:val="000000"/>
                <w:sz w:val="18"/>
                <w:szCs w:val="18"/>
              </w:rPr>
            </w:pPr>
            <w:r w:rsidRPr="00250E49">
              <w:rPr>
                <w:rFonts w:eastAsiaTheme="minorHAnsi"/>
                <w:color w:val="000000"/>
                <w:sz w:val="18"/>
                <w:szCs w:val="18"/>
              </w:rPr>
              <w:t>Consolidarea integrității instituționale prin planuri dezvoltate pe baza analizei de risc și a standardelor de control managerial intern</w:t>
            </w:r>
          </w:p>
        </w:tc>
      </w:tr>
      <w:tr w:rsidR="00D5475A" w:rsidRPr="00250E49" w:rsidTr="0025082C">
        <w:trPr>
          <w:trHeight w:val="2075"/>
        </w:trPr>
        <w:tc>
          <w:tcPr>
            <w:tcW w:w="435" w:type="pct"/>
            <w:tcBorders>
              <w:left w:val="nil"/>
              <w:bottom w:val="single" w:sz="4"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Măsura 1.4.1.</w:t>
            </w:r>
          </w:p>
        </w:tc>
        <w:tc>
          <w:tcPr>
            <w:tcW w:w="618" w:type="pct"/>
            <w:tcBorders>
              <w:left w:val="nil"/>
              <w:bottom w:val="single" w:sz="4"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Comisia de monitorizar</w:t>
            </w:r>
            <w:r w:rsidR="006C7611" w:rsidRPr="00250E49">
              <w:rPr>
                <w:rFonts w:eastAsiaTheme="minorHAnsi"/>
                <w:color w:val="000000"/>
                <w:sz w:val="18"/>
                <w:szCs w:val="18"/>
              </w:rPr>
              <w:t>e</w:t>
            </w:r>
          </w:p>
        </w:tc>
        <w:tc>
          <w:tcPr>
            <w:tcW w:w="814" w:type="pct"/>
            <w:tcBorders>
              <w:left w:val="nil"/>
              <w:bottom w:val="single" w:sz="4"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Identificarea riscurilor şi vulnerabilităţilor specifice instituţiei, a măsurilor de remediere a acestora, precum și a măsurilor de implementare a standardelor de control managerial intern</w:t>
            </w:r>
          </w:p>
        </w:tc>
        <w:tc>
          <w:tcPr>
            <w:tcW w:w="911" w:type="pct"/>
            <w:tcBorders>
              <w:left w:val="nil"/>
              <w:bottom w:val="single" w:sz="4"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de riscuri şi vulnerabilităţi inventariate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de măsuri de remediere a vulnerabilităţilor specifice instituţiei</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Standarde de integritate reflectate în planul de integritate</w:t>
            </w:r>
          </w:p>
        </w:tc>
        <w:tc>
          <w:tcPr>
            <w:tcW w:w="607" w:type="pct"/>
            <w:tcBorders>
              <w:left w:val="nil"/>
              <w:bottom w:val="single" w:sz="4"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Caracterul formal al demersului</w:t>
            </w:r>
          </w:p>
        </w:tc>
        <w:tc>
          <w:tcPr>
            <w:tcW w:w="607" w:type="pct"/>
            <w:tcBorders>
              <w:left w:val="nil"/>
              <w:bottom w:val="single" w:sz="4"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Anual</w:t>
            </w:r>
          </w:p>
        </w:tc>
        <w:tc>
          <w:tcPr>
            <w:tcW w:w="640" w:type="pct"/>
            <w:tcBorders>
              <w:left w:val="nil"/>
              <w:bottom w:val="single" w:sz="4" w:space="0" w:color="auto"/>
              <w:right w:val="nil"/>
            </w:tcBorders>
            <w:shd w:val="solid" w:color="FFFFFF" w:fill="auto"/>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xml:space="preserve">Registrul riscurilor </w:t>
            </w:r>
          </w:p>
        </w:tc>
        <w:tc>
          <w:tcPr>
            <w:tcW w:w="368" w:type="pct"/>
            <w:tcBorders>
              <w:left w:val="nil"/>
              <w:bottom w:val="single" w:sz="4"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Bugetul curent</w:t>
            </w:r>
          </w:p>
        </w:tc>
      </w:tr>
      <w:tr w:rsidR="00D5475A" w:rsidRPr="00250E49" w:rsidTr="008A2C36">
        <w:trPr>
          <w:trHeight w:val="1127"/>
        </w:trPr>
        <w:tc>
          <w:tcPr>
            <w:tcW w:w="435" w:type="pct"/>
            <w:tcBorders>
              <w:top w:val="single" w:sz="4" w:space="0" w:color="auto"/>
              <w:bottom w:val="single" w:sz="4" w:space="0" w:color="auto"/>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lastRenderedPageBreak/>
              <w:t>Măsura 1.4.2.</w:t>
            </w:r>
          </w:p>
        </w:tc>
        <w:tc>
          <w:tcPr>
            <w:tcW w:w="618" w:type="pct"/>
            <w:tcBorders>
              <w:top w:val="single" w:sz="4" w:space="0" w:color="auto"/>
              <w:bottom w:val="single" w:sz="4" w:space="0" w:color="auto"/>
            </w:tcBorders>
            <w:shd w:val="solid" w:color="FFFFFF" w:fill="auto"/>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Departamentul legislativ</w:t>
            </w:r>
          </w:p>
        </w:tc>
        <w:tc>
          <w:tcPr>
            <w:tcW w:w="814" w:type="pct"/>
            <w:tcBorders>
              <w:top w:val="single" w:sz="4" w:space="0" w:color="auto"/>
              <w:bottom w:val="single" w:sz="4" w:space="0" w:color="auto"/>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Evaluarea anuală a modului de implementare a planului și adaptarea acestuia la riscurile și vulnerabilitățile nou apărute</w:t>
            </w:r>
          </w:p>
        </w:tc>
        <w:tc>
          <w:tcPr>
            <w:tcW w:w="911" w:type="pct"/>
            <w:tcBorders>
              <w:top w:val="single" w:sz="4" w:space="0" w:color="auto"/>
              <w:bottom w:val="single" w:sz="4" w:space="0" w:color="auto"/>
            </w:tcBorders>
            <w:shd w:val="solid" w:color="FFFFFF" w:fill="auto"/>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Numărul de riscuri și vulnerabilități identificate</w:t>
            </w:r>
          </w:p>
        </w:tc>
        <w:tc>
          <w:tcPr>
            <w:tcW w:w="607" w:type="pct"/>
            <w:tcBorders>
              <w:top w:val="single" w:sz="4" w:space="0" w:color="auto"/>
              <w:bottom w:val="single" w:sz="4" w:space="0" w:color="auto"/>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Caracterul formal al demersului</w:t>
            </w:r>
          </w:p>
        </w:tc>
        <w:tc>
          <w:tcPr>
            <w:tcW w:w="607" w:type="pct"/>
            <w:tcBorders>
              <w:top w:val="single" w:sz="4" w:space="0" w:color="auto"/>
              <w:bottom w:val="single" w:sz="4" w:space="0" w:color="auto"/>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Anual</w:t>
            </w:r>
          </w:p>
        </w:tc>
        <w:tc>
          <w:tcPr>
            <w:tcW w:w="640" w:type="pct"/>
            <w:tcBorders>
              <w:top w:val="single" w:sz="4" w:space="0" w:color="auto"/>
              <w:bottom w:val="single" w:sz="4" w:space="0" w:color="auto"/>
            </w:tcBorders>
            <w:shd w:val="solid" w:color="FFFFFF" w:fill="auto"/>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Rapoarte de progres</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Rapoarte de activitate</w:t>
            </w:r>
          </w:p>
        </w:tc>
        <w:tc>
          <w:tcPr>
            <w:tcW w:w="368" w:type="pct"/>
            <w:tcBorders>
              <w:top w:val="single" w:sz="4" w:space="0" w:color="auto"/>
              <w:bottom w:val="single" w:sz="4" w:space="0" w:color="auto"/>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Bugetul curent</w:t>
            </w:r>
          </w:p>
        </w:tc>
      </w:tr>
      <w:tr w:rsidR="00D5475A" w:rsidRPr="00250E49" w:rsidTr="008A2C36">
        <w:trPr>
          <w:trHeight w:val="2815"/>
        </w:trPr>
        <w:tc>
          <w:tcPr>
            <w:tcW w:w="435" w:type="pct"/>
            <w:tcBorders>
              <w:top w:val="single" w:sz="4" w:space="0" w:color="auto"/>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Măsura 1.4.3.</w:t>
            </w:r>
          </w:p>
        </w:tc>
        <w:tc>
          <w:tcPr>
            <w:tcW w:w="618" w:type="pct"/>
            <w:tcBorders>
              <w:top w:val="single" w:sz="4" w:space="0" w:color="auto"/>
            </w:tcBorders>
            <w:shd w:val="solid" w:color="FFFFFF" w:fill="auto"/>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Departamentul legislativ</w:t>
            </w:r>
          </w:p>
        </w:tc>
        <w:tc>
          <w:tcPr>
            <w:tcW w:w="814" w:type="pct"/>
            <w:tcBorders>
              <w:top w:val="single" w:sz="4" w:space="0" w:color="auto"/>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Transmiterea contribuțiilor solicitate de secretariatul tehnic și participarea la activitățile de coordonare și monitorizare ale strategiei</w:t>
            </w:r>
          </w:p>
        </w:tc>
        <w:tc>
          <w:tcPr>
            <w:tcW w:w="911" w:type="pct"/>
            <w:tcBorders>
              <w:top w:val="single" w:sz="4" w:space="0" w:color="auto"/>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de comunicări către Secretariatul tehnic al SNA</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xml:space="preserve"> • Colectarea integrală a indicatorilor din inventarul măsurilor de transparență instituțională și de prevenire a corupției</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de persoane/instituţie participante la lucrările platformelor de cooperare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de experţi/instituţie participanţi la misiunile tematice de evaluare</w:t>
            </w:r>
          </w:p>
        </w:tc>
        <w:tc>
          <w:tcPr>
            <w:tcW w:w="607" w:type="pct"/>
            <w:tcBorders>
              <w:top w:val="single" w:sz="4" w:space="0" w:color="auto"/>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Furnizarea de informații inexacte, incomplete sau cu întârziere</w:t>
            </w:r>
          </w:p>
          <w:p w:rsidR="00D5475A" w:rsidRPr="00250E49" w:rsidRDefault="00D5475A" w:rsidP="00D5475A">
            <w:pPr>
              <w:autoSpaceDE w:val="0"/>
              <w:autoSpaceDN w:val="0"/>
              <w:adjustRightInd w:val="0"/>
              <w:rPr>
                <w:rFonts w:eastAsiaTheme="minorHAnsi"/>
                <w:color w:val="000000"/>
                <w:sz w:val="18"/>
                <w:szCs w:val="18"/>
              </w:rPr>
            </w:pPr>
          </w:p>
        </w:tc>
        <w:tc>
          <w:tcPr>
            <w:tcW w:w="607" w:type="pct"/>
            <w:tcBorders>
              <w:top w:val="single" w:sz="4" w:space="0" w:color="auto"/>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Permanent</w:t>
            </w:r>
          </w:p>
        </w:tc>
        <w:tc>
          <w:tcPr>
            <w:tcW w:w="640" w:type="pct"/>
            <w:tcBorders>
              <w:top w:val="single" w:sz="4" w:space="0" w:color="auto"/>
            </w:tcBorders>
            <w:shd w:val="solid" w:color="FFFFFF" w:fill="auto"/>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Rapoarte de progres</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Rapoarte de activitate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Rapoarte de participare</w:t>
            </w:r>
          </w:p>
        </w:tc>
        <w:tc>
          <w:tcPr>
            <w:tcW w:w="368" w:type="pct"/>
            <w:tcBorders>
              <w:top w:val="single" w:sz="4" w:space="0" w:color="auto"/>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Bugetul curent</w:t>
            </w:r>
          </w:p>
        </w:tc>
      </w:tr>
      <w:tr w:rsidR="00D5475A" w:rsidRPr="00250E49" w:rsidTr="0025082C">
        <w:trPr>
          <w:trHeight w:val="230"/>
        </w:trPr>
        <w:tc>
          <w:tcPr>
            <w:tcW w:w="5000" w:type="pct"/>
            <w:gridSpan w:val="8"/>
            <w:tcBorders>
              <w:left w:val="nil"/>
              <w:bottom w:val="nil"/>
              <w:right w:val="nil"/>
            </w:tcBorders>
            <w:shd w:val="solid" w:color="333399" w:fill="auto"/>
            <w:vAlign w:val="center"/>
          </w:tcPr>
          <w:p w:rsidR="00D5475A" w:rsidRPr="00250E49" w:rsidRDefault="00D5475A" w:rsidP="00D5475A">
            <w:pPr>
              <w:autoSpaceDE w:val="0"/>
              <w:autoSpaceDN w:val="0"/>
              <w:adjustRightInd w:val="0"/>
              <w:jc w:val="center"/>
              <w:rPr>
                <w:rFonts w:eastAsiaTheme="minorHAnsi"/>
                <w:color w:val="000000"/>
                <w:sz w:val="18"/>
                <w:szCs w:val="18"/>
              </w:rPr>
            </w:pPr>
            <w:r w:rsidRPr="00250E49">
              <w:rPr>
                <w:rFonts w:eastAsiaTheme="minorHAnsi"/>
                <w:b/>
                <w:bCs/>
                <w:color w:val="FFFFFF"/>
                <w:sz w:val="18"/>
                <w:szCs w:val="18"/>
              </w:rPr>
              <w:t>Obiectiv general 2 – Continuarea dezvoltării unei culturi a transparenței la nivelul AEP</w:t>
            </w:r>
          </w:p>
        </w:tc>
      </w:tr>
      <w:tr w:rsidR="00D5475A" w:rsidRPr="00250E49" w:rsidTr="0025082C">
        <w:trPr>
          <w:trHeight w:val="463"/>
        </w:trPr>
        <w:tc>
          <w:tcPr>
            <w:tcW w:w="435" w:type="pct"/>
            <w:tcBorders>
              <w:top w:val="nil"/>
              <w:left w:val="nil"/>
              <w:bottom w:val="nil"/>
              <w:right w:val="nil"/>
            </w:tcBorders>
            <w:shd w:val="solid" w:color="99CCFF" w:fill="auto"/>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Obiectivul specific 2.1.</w:t>
            </w:r>
          </w:p>
        </w:tc>
        <w:tc>
          <w:tcPr>
            <w:tcW w:w="4565" w:type="pct"/>
            <w:gridSpan w:val="7"/>
            <w:tcBorders>
              <w:top w:val="nil"/>
              <w:left w:val="nil"/>
              <w:bottom w:val="nil"/>
              <w:right w:val="nil"/>
            </w:tcBorders>
            <w:shd w:val="solid" w:color="99CCFF" w:fill="auto"/>
            <w:vAlign w:val="center"/>
          </w:tcPr>
          <w:p w:rsidR="00D5475A" w:rsidRPr="00250E49" w:rsidRDefault="00D5475A" w:rsidP="00D5475A">
            <w:pPr>
              <w:autoSpaceDE w:val="0"/>
              <w:autoSpaceDN w:val="0"/>
              <w:adjustRightInd w:val="0"/>
              <w:jc w:val="center"/>
              <w:rPr>
                <w:rFonts w:eastAsiaTheme="minorHAnsi"/>
                <w:color w:val="000000"/>
                <w:sz w:val="18"/>
                <w:szCs w:val="18"/>
              </w:rPr>
            </w:pPr>
            <w:r w:rsidRPr="00250E49">
              <w:rPr>
                <w:rFonts w:eastAsiaTheme="minorHAnsi"/>
                <w:color w:val="000000"/>
                <w:sz w:val="18"/>
                <w:szCs w:val="18"/>
              </w:rPr>
              <w:t>Creșterea transparenței instituționale și a proceselor decizionale</w:t>
            </w:r>
          </w:p>
        </w:tc>
      </w:tr>
      <w:tr w:rsidR="00D5475A" w:rsidRPr="00250E49" w:rsidTr="0025082C">
        <w:trPr>
          <w:trHeight w:val="1571"/>
        </w:trPr>
        <w:tc>
          <w:tcPr>
            <w:tcW w:w="435" w:type="pct"/>
            <w:tcBorders>
              <w:top w:val="nil"/>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Măsura 2.1.1.</w:t>
            </w:r>
          </w:p>
        </w:tc>
        <w:tc>
          <w:tcPr>
            <w:tcW w:w="618" w:type="pct"/>
            <w:tcBorders>
              <w:top w:val="nil"/>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Toate compartimentele de specialitate ale AEP</w:t>
            </w:r>
          </w:p>
        </w:tc>
        <w:tc>
          <w:tcPr>
            <w:tcW w:w="814" w:type="pct"/>
            <w:tcBorders>
              <w:top w:val="nil"/>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Continuarea proceselor de actualizare a site-ului AEP cu privire la informațiile de interes public prevăzute de Anexa nr. 4  la HG nr. 583/2016</w:t>
            </w:r>
          </w:p>
        </w:tc>
        <w:tc>
          <w:tcPr>
            <w:tcW w:w="911" w:type="pct"/>
            <w:tcBorders>
              <w:top w:val="nil"/>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Site/portal funcțional</w:t>
            </w:r>
          </w:p>
        </w:tc>
        <w:tc>
          <w:tcPr>
            <w:tcW w:w="607" w:type="pct"/>
            <w:tcBorders>
              <w:top w:val="nil"/>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xml:space="preserve">Furnizarea de informații inexacte, incomplete sau cu întârziere </w:t>
            </w:r>
          </w:p>
        </w:tc>
        <w:tc>
          <w:tcPr>
            <w:tcW w:w="607" w:type="pct"/>
            <w:tcBorders>
              <w:top w:val="nil"/>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Permanent</w:t>
            </w:r>
          </w:p>
        </w:tc>
        <w:tc>
          <w:tcPr>
            <w:tcW w:w="640" w:type="pct"/>
            <w:tcBorders>
              <w:top w:val="nil"/>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Site-ul oficial al AEP</w:t>
            </w:r>
          </w:p>
        </w:tc>
        <w:tc>
          <w:tcPr>
            <w:tcW w:w="368" w:type="pct"/>
            <w:tcBorders>
              <w:top w:val="nil"/>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Bugetul curent</w:t>
            </w:r>
          </w:p>
        </w:tc>
      </w:tr>
      <w:tr w:rsidR="00D5475A" w:rsidRPr="00250E49" w:rsidTr="0025082C">
        <w:trPr>
          <w:trHeight w:val="230"/>
        </w:trPr>
        <w:tc>
          <w:tcPr>
            <w:tcW w:w="5000" w:type="pct"/>
            <w:gridSpan w:val="8"/>
            <w:tcBorders>
              <w:top w:val="nil"/>
              <w:left w:val="nil"/>
              <w:bottom w:val="nil"/>
              <w:right w:val="nil"/>
            </w:tcBorders>
            <w:shd w:val="solid" w:color="333399" w:fill="auto"/>
            <w:vAlign w:val="center"/>
          </w:tcPr>
          <w:p w:rsidR="00D5475A" w:rsidRPr="00250E49" w:rsidRDefault="00D5475A" w:rsidP="00D5475A">
            <w:pPr>
              <w:autoSpaceDE w:val="0"/>
              <w:autoSpaceDN w:val="0"/>
              <w:adjustRightInd w:val="0"/>
              <w:jc w:val="center"/>
              <w:rPr>
                <w:rFonts w:eastAsiaTheme="minorHAnsi"/>
                <w:color w:val="000000"/>
                <w:sz w:val="18"/>
                <w:szCs w:val="18"/>
              </w:rPr>
            </w:pPr>
            <w:r w:rsidRPr="00250E49">
              <w:rPr>
                <w:rFonts w:eastAsiaTheme="minorHAnsi"/>
                <w:b/>
                <w:bCs/>
                <w:color w:val="FFFFFF"/>
                <w:sz w:val="18"/>
                <w:szCs w:val="18"/>
              </w:rPr>
              <w:t>Obiectivul general 3 – Creșterea integrității, reducerea vulnerabilităților și a riscurilor de corupție în finanțarea partidelor politice şi a campaniilor electorale</w:t>
            </w:r>
          </w:p>
        </w:tc>
      </w:tr>
      <w:tr w:rsidR="00D5475A" w:rsidRPr="00250E49" w:rsidTr="0025082C">
        <w:trPr>
          <w:trHeight w:val="463"/>
        </w:trPr>
        <w:tc>
          <w:tcPr>
            <w:tcW w:w="435" w:type="pct"/>
            <w:tcBorders>
              <w:top w:val="nil"/>
              <w:left w:val="nil"/>
              <w:bottom w:val="nil"/>
              <w:right w:val="nil"/>
            </w:tcBorders>
            <w:shd w:val="solid" w:color="99CCFF" w:fill="auto"/>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Obiectivul specific 3.1.</w:t>
            </w:r>
          </w:p>
        </w:tc>
        <w:tc>
          <w:tcPr>
            <w:tcW w:w="4565" w:type="pct"/>
            <w:gridSpan w:val="7"/>
            <w:tcBorders>
              <w:top w:val="nil"/>
              <w:left w:val="nil"/>
              <w:bottom w:val="nil"/>
              <w:right w:val="nil"/>
            </w:tcBorders>
            <w:shd w:val="solid" w:color="99CCFF" w:fill="auto"/>
            <w:vAlign w:val="center"/>
          </w:tcPr>
          <w:p w:rsidR="00D5475A" w:rsidRPr="00250E49" w:rsidRDefault="00D5475A" w:rsidP="00D5475A">
            <w:pPr>
              <w:autoSpaceDE w:val="0"/>
              <w:autoSpaceDN w:val="0"/>
              <w:adjustRightInd w:val="0"/>
              <w:jc w:val="center"/>
              <w:rPr>
                <w:rFonts w:eastAsiaTheme="minorHAnsi"/>
                <w:color w:val="000000"/>
                <w:sz w:val="18"/>
                <w:szCs w:val="18"/>
              </w:rPr>
            </w:pPr>
            <w:r w:rsidRPr="00250E49">
              <w:rPr>
                <w:rFonts w:eastAsiaTheme="minorHAnsi"/>
                <w:color w:val="000000"/>
                <w:sz w:val="18"/>
                <w:szCs w:val="18"/>
              </w:rPr>
              <w:t>Creşterea gradului de înţelegere a standardelor în materia  finanţării partidelor politice şi a campaniilor electorale şi promovarea bunelor practici</w:t>
            </w:r>
          </w:p>
        </w:tc>
      </w:tr>
      <w:tr w:rsidR="00D5475A" w:rsidRPr="00250E49" w:rsidTr="008A2C36">
        <w:trPr>
          <w:trHeight w:val="1588"/>
        </w:trPr>
        <w:tc>
          <w:tcPr>
            <w:tcW w:w="435" w:type="pct"/>
            <w:tcBorders>
              <w:top w:val="nil"/>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Măsura 3.1.1.</w:t>
            </w:r>
          </w:p>
        </w:tc>
        <w:tc>
          <w:tcPr>
            <w:tcW w:w="618" w:type="pct"/>
            <w:vMerge w:val="restart"/>
            <w:tcBorders>
              <w:top w:val="nil"/>
              <w:left w:val="nil"/>
              <w:right w:val="nil"/>
            </w:tcBorders>
            <w:shd w:val="solid" w:color="FFFFFF" w:fill="auto"/>
            <w:vAlign w:val="center"/>
          </w:tcPr>
          <w:p w:rsidR="00D5475A" w:rsidRPr="00250E49" w:rsidRDefault="00D5475A" w:rsidP="00D5475A">
            <w:pPr>
              <w:autoSpaceDE w:val="0"/>
              <w:autoSpaceDN w:val="0"/>
              <w:adjustRightInd w:val="0"/>
              <w:rPr>
                <w:rFonts w:eastAsiaTheme="minorHAnsi"/>
                <w:color w:val="000000"/>
                <w:sz w:val="18"/>
                <w:szCs w:val="18"/>
              </w:rPr>
            </w:pP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Departamentul de control al finanţării partidelor politice şi a campaniilor electorale</w:t>
            </w:r>
          </w:p>
        </w:tc>
        <w:tc>
          <w:tcPr>
            <w:tcW w:w="814" w:type="pct"/>
            <w:tcBorders>
              <w:top w:val="nil"/>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Organizarea de evenimente şi de sesiuni de formare pentru reprezentanții partidelor politice</w:t>
            </w:r>
          </w:p>
        </w:tc>
        <w:tc>
          <w:tcPr>
            <w:tcW w:w="911" w:type="pct"/>
            <w:tcBorders>
              <w:top w:val="nil"/>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de evenimente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de participanţi</w:t>
            </w:r>
          </w:p>
        </w:tc>
        <w:tc>
          <w:tcPr>
            <w:tcW w:w="607" w:type="pct"/>
            <w:tcBorders>
              <w:top w:val="nil"/>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Nealocarea resurselor umane și financiare necesare</w:t>
            </w:r>
          </w:p>
        </w:tc>
        <w:tc>
          <w:tcPr>
            <w:tcW w:w="607" w:type="pct"/>
            <w:tcBorders>
              <w:top w:val="nil"/>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Anual</w:t>
            </w:r>
          </w:p>
        </w:tc>
        <w:tc>
          <w:tcPr>
            <w:tcW w:w="640" w:type="pct"/>
            <w:tcBorders>
              <w:top w:val="nil"/>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Rapoarte și informări publice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Liste de prezentă</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Evaluări post-participare</w:t>
            </w:r>
          </w:p>
        </w:tc>
        <w:tc>
          <w:tcPr>
            <w:tcW w:w="368" w:type="pct"/>
            <w:tcBorders>
              <w:top w:val="nil"/>
              <w:left w:val="nil"/>
              <w:bottom w:val="single" w:sz="6" w:space="0" w:color="auto"/>
              <w:right w:val="nil"/>
            </w:tcBorders>
            <w:shd w:val="solid" w:color="FFFFFF" w:fill="auto"/>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250.000 lei</w:t>
            </w:r>
          </w:p>
        </w:tc>
      </w:tr>
      <w:tr w:rsidR="00D5475A" w:rsidRPr="00250E49" w:rsidTr="0025082C">
        <w:trPr>
          <w:trHeight w:val="1259"/>
        </w:trPr>
        <w:tc>
          <w:tcPr>
            <w:tcW w:w="435" w:type="pct"/>
            <w:tcBorders>
              <w:top w:val="nil"/>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Măsura 3.1.2.</w:t>
            </w:r>
          </w:p>
        </w:tc>
        <w:tc>
          <w:tcPr>
            <w:tcW w:w="618" w:type="pct"/>
            <w:vMerge/>
            <w:tcBorders>
              <w:left w:val="nil"/>
              <w:bottom w:val="nil"/>
              <w:right w:val="nil"/>
            </w:tcBorders>
            <w:shd w:val="solid" w:color="FFFFFF" w:fill="auto"/>
            <w:vAlign w:val="center"/>
          </w:tcPr>
          <w:p w:rsidR="00D5475A" w:rsidRPr="00250E49" w:rsidRDefault="00D5475A" w:rsidP="00D5475A">
            <w:pPr>
              <w:autoSpaceDE w:val="0"/>
              <w:autoSpaceDN w:val="0"/>
              <w:adjustRightInd w:val="0"/>
              <w:rPr>
                <w:rFonts w:eastAsiaTheme="minorHAnsi"/>
                <w:color w:val="000000"/>
                <w:sz w:val="18"/>
                <w:szCs w:val="18"/>
              </w:rPr>
            </w:pPr>
          </w:p>
        </w:tc>
        <w:tc>
          <w:tcPr>
            <w:tcW w:w="814" w:type="pct"/>
            <w:tcBorders>
              <w:top w:val="nil"/>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Elaborarea unor noi ghiduri și manuale pentru reprezentanții partidelor politice</w:t>
            </w:r>
          </w:p>
        </w:tc>
        <w:tc>
          <w:tcPr>
            <w:tcW w:w="911" w:type="pct"/>
            <w:tcBorders>
              <w:top w:val="nil"/>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xml:space="preserve">Materiale elaborate şi publicate </w:t>
            </w:r>
          </w:p>
        </w:tc>
        <w:tc>
          <w:tcPr>
            <w:tcW w:w="607" w:type="pct"/>
            <w:tcBorders>
              <w:top w:val="nil"/>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Nealocarea resurselor umane și financiare necesare</w:t>
            </w:r>
          </w:p>
        </w:tc>
        <w:tc>
          <w:tcPr>
            <w:tcW w:w="607" w:type="pct"/>
            <w:tcBorders>
              <w:top w:val="nil"/>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Anual</w:t>
            </w:r>
          </w:p>
        </w:tc>
        <w:tc>
          <w:tcPr>
            <w:tcW w:w="640" w:type="pct"/>
            <w:tcBorders>
              <w:top w:val="nil"/>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Rapoarte și informări publice</w:t>
            </w:r>
          </w:p>
        </w:tc>
        <w:tc>
          <w:tcPr>
            <w:tcW w:w="368" w:type="pct"/>
            <w:tcBorders>
              <w:top w:val="nil"/>
              <w:left w:val="nil"/>
              <w:bottom w:val="nil"/>
              <w:right w:val="nil"/>
            </w:tcBorders>
            <w:shd w:val="solid" w:color="FFFFFF" w:fill="auto"/>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250.000 lei</w:t>
            </w:r>
          </w:p>
        </w:tc>
      </w:tr>
      <w:tr w:rsidR="00D5475A" w:rsidRPr="00250E49" w:rsidTr="0025082C">
        <w:trPr>
          <w:trHeight w:val="463"/>
        </w:trPr>
        <w:tc>
          <w:tcPr>
            <w:tcW w:w="435" w:type="pct"/>
            <w:tcBorders>
              <w:top w:val="nil"/>
              <w:left w:val="nil"/>
              <w:bottom w:val="nil"/>
              <w:right w:val="nil"/>
            </w:tcBorders>
            <w:shd w:val="solid" w:color="99CCFF" w:fill="auto"/>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lastRenderedPageBreak/>
              <w:t>Obiectivul specific 3.2.</w:t>
            </w:r>
          </w:p>
        </w:tc>
        <w:tc>
          <w:tcPr>
            <w:tcW w:w="4565" w:type="pct"/>
            <w:gridSpan w:val="7"/>
            <w:tcBorders>
              <w:top w:val="nil"/>
              <w:left w:val="nil"/>
              <w:bottom w:val="nil"/>
              <w:right w:val="nil"/>
            </w:tcBorders>
            <w:shd w:val="solid" w:color="99CCFF" w:fill="auto"/>
            <w:vAlign w:val="center"/>
          </w:tcPr>
          <w:p w:rsidR="00D5475A" w:rsidRPr="00250E49" w:rsidRDefault="00D5475A" w:rsidP="00D5475A">
            <w:pPr>
              <w:autoSpaceDE w:val="0"/>
              <w:autoSpaceDN w:val="0"/>
              <w:adjustRightInd w:val="0"/>
              <w:jc w:val="center"/>
              <w:rPr>
                <w:rFonts w:eastAsiaTheme="minorHAnsi"/>
                <w:color w:val="000000"/>
                <w:sz w:val="18"/>
                <w:szCs w:val="18"/>
              </w:rPr>
            </w:pPr>
            <w:r w:rsidRPr="00250E49">
              <w:rPr>
                <w:rFonts w:eastAsiaTheme="minorHAnsi"/>
                <w:color w:val="000000"/>
                <w:sz w:val="18"/>
                <w:szCs w:val="18"/>
              </w:rPr>
              <w:t>Asigurarea publicității surselor de finanțare a activității partidelor politice și a campaniilor electorale, precum și a cheltuielilor aferente</w:t>
            </w:r>
          </w:p>
        </w:tc>
      </w:tr>
      <w:tr w:rsidR="00D5475A" w:rsidRPr="00250E49" w:rsidTr="0025082C">
        <w:trPr>
          <w:trHeight w:val="1380"/>
        </w:trPr>
        <w:tc>
          <w:tcPr>
            <w:tcW w:w="435" w:type="pct"/>
            <w:tcBorders>
              <w:top w:val="nil"/>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Măsura 3.2.1.</w:t>
            </w:r>
          </w:p>
        </w:tc>
        <w:tc>
          <w:tcPr>
            <w:tcW w:w="618" w:type="pct"/>
            <w:vMerge w:val="restart"/>
            <w:tcBorders>
              <w:top w:val="nil"/>
              <w:left w:val="nil"/>
              <w:right w:val="nil"/>
            </w:tcBorders>
            <w:shd w:val="solid" w:color="FFFFFF" w:fill="auto"/>
          </w:tcPr>
          <w:p w:rsidR="00D5475A" w:rsidRPr="00250E49" w:rsidRDefault="00D5475A" w:rsidP="00D5475A">
            <w:pPr>
              <w:autoSpaceDE w:val="0"/>
              <w:autoSpaceDN w:val="0"/>
              <w:adjustRightInd w:val="0"/>
              <w:rPr>
                <w:rFonts w:eastAsiaTheme="minorHAnsi"/>
                <w:color w:val="000000"/>
                <w:sz w:val="18"/>
                <w:szCs w:val="18"/>
              </w:rPr>
            </w:pPr>
          </w:p>
          <w:p w:rsidR="00D5475A" w:rsidRPr="00250E49" w:rsidRDefault="00D5475A" w:rsidP="00D5475A">
            <w:pPr>
              <w:autoSpaceDE w:val="0"/>
              <w:autoSpaceDN w:val="0"/>
              <w:adjustRightInd w:val="0"/>
              <w:rPr>
                <w:rFonts w:eastAsiaTheme="minorHAnsi"/>
                <w:color w:val="000000"/>
                <w:sz w:val="18"/>
                <w:szCs w:val="18"/>
              </w:rPr>
            </w:pPr>
          </w:p>
          <w:p w:rsidR="00D5475A" w:rsidRPr="00250E49" w:rsidRDefault="00D5475A" w:rsidP="00D5475A">
            <w:pPr>
              <w:autoSpaceDE w:val="0"/>
              <w:autoSpaceDN w:val="0"/>
              <w:adjustRightInd w:val="0"/>
              <w:rPr>
                <w:rFonts w:eastAsiaTheme="minorHAnsi"/>
                <w:color w:val="000000"/>
                <w:sz w:val="18"/>
                <w:szCs w:val="18"/>
              </w:rPr>
            </w:pPr>
          </w:p>
          <w:p w:rsidR="00D5475A" w:rsidRPr="00250E49" w:rsidRDefault="00D5475A" w:rsidP="00D5475A">
            <w:pPr>
              <w:autoSpaceDE w:val="0"/>
              <w:autoSpaceDN w:val="0"/>
              <w:adjustRightInd w:val="0"/>
              <w:rPr>
                <w:rFonts w:eastAsiaTheme="minorHAnsi"/>
                <w:color w:val="000000"/>
                <w:sz w:val="18"/>
                <w:szCs w:val="18"/>
              </w:rPr>
            </w:pPr>
          </w:p>
          <w:p w:rsidR="006C7611" w:rsidRPr="00250E49" w:rsidRDefault="006C7611" w:rsidP="00D5475A">
            <w:pPr>
              <w:autoSpaceDE w:val="0"/>
              <w:autoSpaceDN w:val="0"/>
              <w:adjustRightInd w:val="0"/>
              <w:rPr>
                <w:rFonts w:eastAsiaTheme="minorHAnsi"/>
                <w:color w:val="000000"/>
                <w:sz w:val="18"/>
                <w:szCs w:val="18"/>
              </w:rPr>
            </w:pP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Departamentul de control al finanţării partidelor politice şi a campaniilor electorale</w:t>
            </w:r>
          </w:p>
          <w:p w:rsidR="00D5475A" w:rsidRPr="00250E49" w:rsidRDefault="00D5475A" w:rsidP="00D5475A">
            <w:pPr>
              <w:autoSpaceDE w:val="0"/>
              <w:autoSpaceDN w:val="0"/>
              <w:adjustRightInd w:val="0"/>
              <w:rPr>
                <w:rFonts w:eastAsiaTheme="minorHAnsi"/>
                <w:color w:val="000000"/>
                <w:sz w:val="18"/>
                <w:szCs w:val="18"/>
              </w:rPr>
            </w:pPr>
          </w:p>
        </w:tc>
        <w:tc>
          <w:tcPr>
            <w:tcW w:w="814" w:type="pct"/>
            <w:tcBorders>
              <w:top w:val="nil"/>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Continuarea acțiunilor de diseminare transparentă a acestor informații</w:t>
            </w:r>
          </w:p>
        </w:tc>
        <w:tc>
          <w:tcPr>
            <w:tcW w:w="911" w:type="pct"/>
            <w:tcBorders>
              <w:top w:val="nil"/>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de raportări furnizate AEP de către fiecare partid politic</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de sesizări</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Numărul de sancțiuni</w:t>
            </w:r>
          </w:p>
        </w:tc>
        <w:tc>
          <w:tcPr>
            <w:tcW w:w="607" w:type="pct"/>
            <w:tcBorders>
              <w:top w:val="nil"/>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Furnizarea de informații inexacte, incomplete sau cu întârziere</w:t>
            </w:r>
          </w:p>
        </w:tc>
        <w:tc>
          <w:tcPr>
            <w:tcW w:w="607" w:type="pct"/>
            <w:tcBorders>
              <w:top w:val="nil"/>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Permanent</w:t>
            </w:r>
          </w:p>
        </w:tc>
        <w:tc>
          <w:tcPr>
            <w:tcW w:w="640" w:type="pct"/>
            <w:tcBorders>
              <w:top w:val="nil"/>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Site-ul oficial al AEP</w:t>
            </w:r>
          </w:p>
        </w:tc>
        <w:tc>
          <w:tcPr>
            <w:tcW w:w="368" w:type="pct"/>
            <w:tcBorders>
              <w:top w:val="nil"/>
              <w:left w:val="nil"/>
              <w:bottom w:val="single" w:sz="6" w:space="0" w:color="auto"/>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Bugetul curent</w:t>
            </w:r>
          </w:p>
        </w:tc>
      </w:tr>
      <w:tr w:rsidR="00D5475A" w:rsidRPr="00250E49" w:rsidTr="0025082C">
        <w:trPr>
          <w:trHeight w:val="4104"/>
        </w:trPr>
        <w:tc>
          <w:tcPr>
            <w:tcW w:w="435" w:type="pct"/>
            <w:tcBorders>
              <w:top w:val="nil"/>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Măsura 3.2.2.</w:t>
            </w:r>
          </w:p>
        </w:tc>
        <w:tc>
          <w:tcPr>
            <w:tcW w:w="618" w:type="pct"/>
            <w:vMerge/>
            <w:tcBorders>
              <w:left w:val="nil"/>
              <w:bottom w:val="nil"/>
              <w:right w:val="nil"/>
            </w:tcBorders>
            <w:shd w:val="solid" w:color="FFFFFF" w:fill="auto"/>
            <w:vAlign w:val="center"/>
          </w:tcPr>
          <w:p w:rsidR="00D5475A" w:rsidRPr="00250E49" w:rsidRDefault="00D5475A" w:rsidP="00D5475A">
            <w:pPr>
              <w:autoSpaceDE w:val="0"/>
              <w:autoSpaceDN w:val="0"/>
              <w:adjustRightInd w:val="0"/>
              <w:rPr>
                <w:rFonts w:eastAsiaTheme="minorHAnsi"/>
                <w:color w:val="000000"/>
                <w:sz w:val="18"/>
                <w:szCs w:val="18"/>
              </w:rPr>
            </w:pPr>
          </w:p>
        </w:tc>
        <w:tc>
          <w:tcPr>
            <w:tcW w:w="814" w:type="pct"/>
            <w:tcBorders>
              <w:top w:val="nil"/>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Continuarea publicării în format deschis a datelor legate de finanțarea partidelor politice și a campaniilor electorale</w:t>
            </w:r>
          </w:p>
        </w:tc>
        <w:tc>
          <w:tcPr>
            <w:tcW w:w="911" w:type="pct"/>
            <w:tcBorders>
              <w:top w:val="nil"/>
              <w:left w:val="nil"/>
              <w:bottom w:val="nil"/>
              <w:right w:val="nil"/>
            </w:tcBorders>
            <w:vAlign w:val="center"/>
          </w:tcPr>
          <w:p w:rsidR="00D5475A" w:rsidRPr="00250E49" w:rsidRDefault="00D5475A" w:rsidP="00D5475A">
            <w:pPr>
              <w:autoSpaceDE w:val="0"/>
              <w:autoSpaceDN w:val="0"/>
              <w:adjustRightInd w:val="0"/>
              <w:rPr>
                <w:rFonts w:eastAsiaTheme="minorHAnsi"/>
                <w:iCs/>
                <w:color w:val="000000"/>
                <w:sz w:val="18"/>
                <w:szCs w:val="18"/>
              </w:rPr>
            </w:pPr>
            <w:r w:rsidRPr="00250E49">
              <w:rPr>
                <w:rFonts w:eastAsiaTheme="minorHAnsi"/>
                <w:color w:val="000000"/>
                <w:sz w:val="18"/>
                <w:szCs w:val="18"/>
              </w:rPr>
              <w:t xml:space="preserve">Publicarea tuturor raportărilor prevăzute prin Măsura 3.5.10. din Anexa nr. 2 la </w:t>
            </w:r>
            <w:r w:rsidRPr="00250E49">
              <w:rPr>
                <w:rFonts w:eastAsiaTheme="minorHAnsi"/>
                <w:iCs/>
                <w:color w:val="000000"/>
                <w:sz w:val="18"/>
                <w:szCs w:val="18"/>
              </w:rPr>
              <w:t>HG nr. 583/2016</w:t>
            </w:r>
          </w:p>
        </w:tc>
        <w:tc>
          <w:tcPr>
            <w:tcW w:w="607" w:type="pct"/>
            <w:tcBorders>
              <w:top w:val="nil"/>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Furnizarea de informații inexacte, incomplete sau cu întârziere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Lipsa informațiilor din raportările partidelor și formațiunilor politice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Transmiterea informațiilor în formate needitabile</w:t>
            </w:r>
          </w:p>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 Resurse umane insuficiente pentru prelucrarea informațiilor în vederea publicării în format deschis</w:t>
            </w:r>
          </w:p>
        </w:tc>
        <w:tc>
          <w:tcPr>
            <w:tcW w:w="607" w:type="pct"/>
            <w:tcBorders>
              <w:top w:val="nil"/>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Permanent</w:t>
            </w:r>
          </w:p>
        </w:tc>
        <w:tc>
          <w:tcPr>
            <w:tcW w:w="640" w:type="pct"/>
            <w:tcBorders>
              <w:top w:val="nil"/>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Rapoarte diseminate public</w:t>
            </w:r>
          </w:p>
        </w:tc>
        <w:tc>
          <w:tcPr>
            <w:tcW w:w="368" w:type="pct"/>
            <w:tcBorders>
              <w:top w:val="nil"/>
              <w:left w:val="nil"/>
              <w:bottom w:val="nil"/>
              <w:right w:val="nil"/>
            </w:tcBorders>
            <w:vAlign w:val="center"/>
          </w:tcPr>
          <w:p w:rsidR="00D5475A" w:rsidRPr="00250E49" w:rsidRDefault="00D5475A" w:rsidP="00D5475A">
            <w:pPr>
              <w:autoSpaceDE w:val="0"/>
              <w:autoSpaceDN w:val="0"/>
              <w:adjustRightInd w:val="0"/>
              <w:rPr>
                <w:rFonts w:eastAsiaTheme="minorHAnsi"/>
                <w:color w:val="000000"/>
                <w:sz w:val="18"/>
                <w:szCs w:val="18"/>
              </w:rPr>
            </w:pPr>
            <w:r w:rsidRPr="00250E49">
              <w:rPr>
                <w:rFonts w:eastAsiaTheme="minorHAnsi"/>
                <w:color w:val="000000"/>
                <w:sz w:val="18"/>
                <w:szCs w:val="18"/>
              </w:rPr>
              <w:t>Bugetul curent</w:t>
            </w:r>
          </w:p>
        </w:tc>
      </w:tr>
    </w:tbl>
    <w:p w:rsidR="00E907C4" w:rsidRPr="00250E49" w:rsidRDefault="00E907C4" w:rsidP="00BC0409">
      <w:pPr>
        <w:spacing w:line="276" w:lineRule="auto"/>
        <w:rPr>
          <w:sz w:val="20"/>
        </w:rPr>
      </w:pPr>
    </w:p>
    <w:sectPr w:rsidR="00E907C4" w:rsidRPr="00250E49" w:rsidSect="00BC0409">
      <w:pgSz w:w="16834" w:h="11909" w:orient="landscape" w:code="9"/>
      <w:pgMar w:top="1021" w:right="1134" w:bottom="1021" w:left="1134"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97B" w:rsidRDefault="0088697B" w:rsidP="002217C0">
      <w:r>
        <w:separator/>
      </w:r>
    </w:p>
  </w:endnote>
  <w:endnote w:type="continuationSeparator" w:id="0">
    <w:p w:rsidR="0088697B" w:rsidRDefault="0088697B" w:rsidP="0022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97B" w:rsidRDefault="0088697B" w:rsidP="002217C0">
      <w:r>
        <w:separator/>
      </w:r>
    </w:p>
  </w:footnote>
  <w:footnote w:type="continuationSeparator" w:id="0">
    <w:p w:rsidR="0088697B" w:rsidRDefault="0088697B" w:rsidP="00221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D71"/>
    <w:multiLevelType w:val="hybridMultilevel"/>
    <w:tmpl w:val="AE56A6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451AF6"/>
    <w:multiLevelType w:val="hybridMultilevel"/>
    <w:tmpl w:val="107CBB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913A04"/>
    <w:multiLevelType w:val="hybridMultilevel"/>
    <w:tmpl w:val="B90A4D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665037B"/>
    <w:multiLevelType w:val="hybridMultilevel"/>
    <w:tmpl w:val="5712E3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7027599"/>
    <w:multiLevelType w:val="hybridMultilevel"/>
    <w:tmpl w:val="5BDEC7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DDA23E9"/>
    <w:multiLevelType w:val="hybridMultilevel"/>
    <w:tmpl w:val="A18862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2E6DC1"/>
    <w:multiLevelType w:val="hybridMultilevel"/>
    <w:tmpl w:val="C3D44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2BC6B53"/>
    <w:multiLevelType w:val="hybridMultilevel"/>
    <w:tmpl w:val="556C90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7500AF8"/>
    <w:multiLevelType w:val="hybridMultilevel"/>
    <w:tmpl w:val="08B43F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7E978ED"/>
    <w:multiLevelType w:val="multilevel"/>
    <w:tmpl w:val="BBEA975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A54F2C"/>
    <w:multiLevelType w:val="hybridMultilevel"/>
    <w:tmpl w:val="29B8EF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38E312D"/>
    <w:multiLevelType w:val="multilevel"/>
    <w:tmpl w:val="A0E4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B4654"/>
    <w:multiLevelType w:val="multilevel"/>
    <w:tmpl w:val="741E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D3F15"/>
    <w:multiLevelType w:val="hybridMultilevel"/>
    <w:tmpl w:val="8C58AC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B1081"/>
    <w:multiLevelType w:val="hybridMultilevel"/>
    <w:tmpl w:val="8D963A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B28632C"/>
    <w:multiLevelType w:val="hybridMultilevel"/>
    <w:tmpl w:val="D836256A"/>
    <w:lvl w:ilvl="0" w:tplc="0418000D">
      <w:start w:val="1"/>
      <w:numFmt w:val="bullet"/>
      <w:lvlText w:val=""/>
      <w:lvlJc w:val="left"/>
      <w:pPr>
        <w:ind w:left="1353" w:hanging="360"/>
      </w:pPr>
      <w:rPr>
        <w:rFonts w:ascii="Wingdings" w:hAnsi="Wingdings"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6" w15:restartNumberingAfterBreak="0">
    <w:nsid w:val="2BEB080C"/>
    <w:multiLevelType w:val="hybridMultilevel"/>
    <w:tmpl w:val="B1E4E5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C8822C7"/>
    <w:multiLevelType w:val="hybridMultilevel"/>
    <w:tmpl w:val="DD6061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17F0089"/>
    <w:multiLevelType w:val="hybridMultilevel"/>
    <w:tmpl w:val="6AC8FC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2471079"/>
    <w:multiLevelType w:val="hybridMultilevel"/>
    <w:tmpl w:val="5E4867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45F6485"/>
    <w:multiLevelType w:val="hybridMultilevel"/>
    <w:tmpl w:val="32BEF4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A8C45BE"/>
    <w:multiLevelType w:val="hybridMultilevel"/>
    <w:tmpl w:val="7EF4EC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CC763E8"/>
    <w:multiLevelType w:val="hybridMultilevel"/>
    <w:tmpl w:val="287220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20338B4"/>
    <w:multiLevelType w:val="hybridMultilevel"/>
    <w:tmpl w:val="2752F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F4267"/>
    <w:multiLevelType w:val="hybridMultilevel"/>
    <w:tmpl w:val="4D5EA2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42F02E5"/>
    <w:multiLevelType w:val="hybridMultilevel"/>
    <w:tmpl w:val="63506E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95761FA"/>
    <w:multiLevelType w:val="hybridMultilevel"/>
    <w:tmpl w:val="D94E37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9FC0847"/>
    <w:multiLevelType w:val="multilevel"/>
    <w:tmpl w:val="5ADAC0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38383E"/>
    <w:multiLevelType w:val="multilevel"/>
    <w:tmpl w:val="D3B0A81A"/>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5A50E3"/>
    <w:multiLevelType w:val="hybridMultilevel"/>
    <w:tmpl w:val="A5E6F2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CCE2FCE"/>
    <w:multiLevelType w:val="hybridMultilevel"/>
    <w:tmpl w:val="75E43C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E304ECA"/>
    <w:multiLevelType w:val="hybridMultilevel"/>
    <w:tmpl w:val="AAB0980A"/>
    <w:lvl w:ilvl="0" w:tplc="344A56BE">
      <w:start w:val="1"/>
      <w:numFmt w:val="bullet"/>
      <w:lvlText w:val=""/>
      <w:lvlJc w:val="center"/>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F4E16A7"/>
    <w:multiLevelType w:val="hybridMultilevel"/>
    <w:tmpl w:val="871842C4"/>
    <w:lvl w:ilvl="0" w:tplc="04090001">
      <w:start w:val="1"/>
      <w:numFmt w:val="bullet"/>
      <w:lvlText w:val=""/>
      <w:lvlJc w:val="left"/>
      <w:pPr>
        <w:ind w:left="927" w:hanging="360"/>
      </w:pPr>
      <w:rPr>
        <w:rFonts w:ascii="Symbol" w:hAnsi="Symbol"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3" w15:restartNumberingAfterBreak="0">
    <w:nsid w:val="4FEB1F79"/>
    <w:multiLevelType w:val="hybridMultilevel"/>
    <w:tmpl w:val="5DC49E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0756608"/>
    <w:multiLevelType w:val="hybridMultilevel"/>
    <w:tmpl w:val="2D9AFB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57B0CEF"/>
    <w:multiLevelType w:val="hybridMultilevel"/>
    <w:tmpl w:val="E09ECF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8586DA7"/>
    <w:multiLevelType w:val="hybridMultilevel"/>
    <w:tmpl w:val="FAF886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CE03653"/>
    <w:multiLevelType w:val="hybridMultilevel"/>
    <w:tmpl w:val="BF7C85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10E2E2B"/>
    <w:multiLevelType w:val="hybridMultilevel"/>
    <w:tmpl w:val="E7D438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19276A7"/>
    <w:multiLevelType w:val="hybridMultilevel"/>
    <w:tmpl w:val="784C84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1CF1809"/>
    <w:multiLevelType w:val="hybridMultilevel"/>
    <w:tmpl w:val="6E6A7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2327476"/>
    <w:multiLevelType w:val="hybridMultilevel"/>
    <w:tmpl w:val="3490C6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4BB1E1C"/>
    <w:multiLevelType w:val="hybridMultilevel"/>
    <w:tmpl w:val="823E1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8862C3B"/>
    <w:multiLevelType w:val="hybridMultilevel"/>
    <w:tmpl w:val="0D1689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9C27A1A"/>
    <w:multiLevelType w:val="hybridMultilevel"/>
    <w:tmpl w:val="0F50C5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6D5051FD"/>
    <w:multiLevelType w:val="hybridMultilevel"/>
    <w:tmpl w:val="1D3AC4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6D7571B3"/>
    <w:multiLevelType w:val="hybridMultilevel"/>
    <w:tmpl w:val="85C8D3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6EA9209F"/>
    <w:multiLevelType w:val="hybridMultilevel"/>
    <w:tmpl w:val="4E50C7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7641BA0"/>
    <w:multiLevelType w:val="hybridMultilevel"/>
    <w:tmpl w:val="234448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77DF7130"/>
    <w:multiLevelType w:val="multilevel"/>
    <w:tmpl w:val="1B061C0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29"/>
  </w:num>
  <w:num w:numId="3">
    <w:abstractNumId w:val="2"/>
  </w:num>
  <w:num w:numId="4">
    <w:abstractNumId w:val="37"/>
  </w:num>
  <w:num w:numId="5">
    <w:abstractNumId w:val="43"/>
  </w:num>
  <w:num w:numId="6">
    <w:abstractNumId w:val="10"/>
  </w:num>
  <w:num w:numId="7">
    <w:abstractNumId w:val="6"/>
  </w:num>
  <w:num w:numId="8">
    <w:abstractNumId w:val="3"/>
  </w:num>
  <w:num w:numId="9">
    <w:abstractNumId w:val="8"/>
  </w:num>
  <w:num w:numId="10">
    <w:abstractNumId w:val="44"/>
  </w:num>
  <w:num w:numId="11">
    <w:abstractNumId w:val="15"/>
  </w:num>
  <w:num w:numId="12">
    <w:abstractNumId w:val="18"/>
  </w:num>
  <w:num w:numId="13">
    <w:abstractNumId w:val="13"/>
  </w:num>
  <w:num w:numId="14">
    <w:abstractNumId w:val="32"/>
  </w:num>
  <w:num w:numId="15">
    <w:abstractNumId w:val="31"/>
  </w:num>
  <w:num w:numId="16">
    <w:abstractNumId w:val="21"/>
  </w:num>
  <w:num w:numId="17">
    <w:abstractNumId w:val="38"/>
  </w:num>
  <w:num w:numId="18">
    <w:abstractNumId w:val="22"/>
  </w:num>
  <w:num w:numId="19">
    <w:abstractNumId w:val="7"/>
  </w:num>
  <w:num w:numId="20">
    <w:abstractNumId w:val="35"/>
  </w:num>
  <w:num w:numId="21">
    <w:abstractNumId w:val="9"/>
  </w:num>
  <w:num w:numId="22">
    <w:abstractNumId w:val="47"/>
  </w:num>
  <w:num w:numId="23">
    <w:abstractNumId w:val="36"/>
  </w:num>
  <w:num w:numId="24">
    <w:abstractNumId w:val="26"/>
  </w:num>
  <w:num w:numId="25">
    <w:abstractNumId w:val="34"/>
  </w:num>
  <w:num w:numId="26">
    <w:abstractNumId w:val="25"/>
  </w:num>
  <w:num w:numId="27">
    <w:abstractNumId w:val="0"/>
  </w:num>
  <w:num w:numId="28">
    <w:abstractNumId w:val="23"/>
  </w:num>
  <w:num w:numId="29">
    <w:abstractNumId w:val="42"/>
  </w:num>
  <w:num w:numId="30">
    <w:abstractNumId w:val="17"/>
  </w:num>
  <w:num w:numId="31">
    <w:abstractNumId w:val="28"/>
  </w:num>
  <w:num w:numId="32">
    <w:abstractNumId w:val="46"/>
  </w:num>
  <w:num w:numId="33">
    <w:abstractNumId w:val="49"/>
  </w:num>
  <w:num w:numId="34">
    <w:abstractNumId w:val="27"/>
  </w:num>
  <w:num w:numId="35">
    <w:abstractNumId w:val="14"/>
  </w:num>
  <w:num w:numId="36">
    <w:abstractNumId w:val="45"/>
  </w:num>
  <w:num w:numId="37">
    <w:abstractNumId w:val="16"/>
  </w:num>
  <w:num w:numId="38">
    <w:abstractNumId w:val="1"/>
  </w:num>
  <w:num w:numId="39">
    <w:abstractNumId w:val="20"/>
  </w:num>
  <w:num w:numId="40">
    <w:abstractNumId w:val="4"/>
  </w:num>
  <w:num w:numId="41">
    <w:abstractNumId w:val="11"/>
  </w:num>
  <w:num w:numId="42">
    <w:abstractNumId w:val="12"/>
  </w:num>
  <w:num w:numId="43">
    <w:abstractNumId w:val="48"/>
  </w:num>
  <w:num w:numId="44">
    <w:abstractNumId w:val="19"/>
  </w:num>
  <w:num w:numId="45">
    <w:abstractNumId w:val="40"/>
  </w:num>
  <w:num w:numId="46">
    <w:abstractNumId w:val="5"/>
  </w:num>
  <w:num w:numId="47">
    <w:abstractNumId w:val="41"/>
  </w:num>
  <w:num w:numId="48">
    <w:abstractNumId w:val="33"/>
  </w:num>
  <w:num w:numId="49">
    <w:abstractNumId w:val="24"/>
  </w:num>
  <w:num w:numId="50">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77"/>
    <w:rsid w:val="000016BE"/>
    <w:rsid w:val="00005E9D"/>
    <w:rsid w:val="00006A8B"/>
    <w:rsid w:val="00010FF3"/>
    <w:rsid w:val="0001749D"/>
    <w:rsid w:val="000176D0"/>
    <w:rsid w:val="00025227"/>
    <w:rsid w:val="0003148F"/>
    <w:rsid w:val="00031AD7"/>
    <w:rsid w:val="000520E3"/>
    <w:rsid w:val="000529AA"/>
    <w:rsid w:val="0005356E"/>
    <w:rsid w:val="00055496"/>
    <w:rsid w:val="00057B2B"/>
    <w:rsid w:val="000611D5"/>
    <w:rsid w:val="00061B9A"/>
    <w:rsid w:val="00061FA7"/>
    <w:rsid w:val="00066FC7"/>
    <w:rsid w:val="00070D5C"/>
    <w:rsid w:val="0007452B"/>
    <w:rsid w:val="0007549A"/>
    <w:rsid w:val="00083CB7"/>
    <w:rsid w:val="00084E72"/>
    <w:rsid w:val="00086F61"/>
    <w:rsid w:val="00090D9D"/>
    <w:rsid w:val="000917AA"/>
    <w:rsid w:val="00094D44"/>
    <w:rsid w:val="00094D51"/>
    <w:rsid w:val="00096BEB"/>
    <w:rsid w:val="000A2188"/>
    <w:rsid w:val="000A793A"/>
    <w:rsid w:val="000B2D5D"/>
    <w:rsid w:val="000B36EB"/>
    <w:rsid w:val="000B45FD"/>
    <w:rsid w:val="000B50AC"/>
    <w:rsid w:val="000C04C9"/>
    <w:rsid w:val="000C1935"/>
    <w:rsid w:val="000D196E"/>
    <w:rsid w:val="000E40B6"/>
    <w:rsid w:val="000E497F"/>
    <w:rsid w:val="000F161A"/>
    <w:rsid w:val="000F1844"/>
    <w:rsid w:val="000F1C59"/>
    <w:rsid w:val="000F3000"/>
    <w:rsid w:val="000F61C9"/>
    <w:rsid w:val="000F7067"/>
    <w:rsid w:val="00100002"/>
    <w:rsid w:val="00101C74"/>
    <w:rsid w:val="001118B2"/>
    <w:rsid w:val="00115679"/>
    <w:rsid w:val="00116BDC"/>
    <w:rsid w:val="00120580"/>
    <w:rsid w:val="00122C3B"/>
    <w:rsid w:val="001231F0"/>
    <w:rsid w:val="00123C1D"/>
    <w:rsid w:val="00126854"/>
    <w:rsid w:val="00130DD9"/>
    <w:rsid w:val="00131702"/>
    <w:rsid w:val="00131CE2"/>
    <w:rsid w:val="001360F7"/>
    <w:rsid w:val="001408EC"/>
    <w:rsid w:val="001417B3"/>
    <w:rsid w:val="00143316"/>
    <w:rsid w:val="0014548D"/>
    <w:rsid w:val="00150ED2"/>
    <w:rsid w:val="00151449"/>
    <w:rsid w:val="001552EF"/>
    <w:rsid w:val="00157F72"/>
    <w:rsid w:val="00163703"/>
    <w:rsid w:val="0017023D"/>
    <w:rsid w:val="001716B4"/>
    <w:rsid w:val="0017398B"/>
    <w:rsid w:val="001742DE"/>
    <w:rsid w:val="00176000"/>
    <w:rsid w:val="0017604C"/>
    <w:rsid w:val="00181E25"/>
    <w:rsid w:val="001833B5"/>
    <w:rsid w:val="00183CF5"/>
    <w:rsid w:val="00186189"/>
    <w:rsid w:val="00187217"/>
    <w:rsid w:val="00191470"/>
    <w:rsid w:val="0019148C"/>
    <w:rsid w:val="001936DD"/>
    <w:rsid w:val="00195046"/>
    <w:rsid w:val="0019585D"/>
    <w:rsid w:val="001A1E9B"/>
    <w:rsid w:val="001A3057"/>
    <w:rsid w:val="001B0420"/>
    <w:rsid w:val="001B29F0"/>
    <w:rsid w:val="001B64C7"/>
    <w:rsid w:val="001B7900"/>
    <w:rsid w:val="001C0E53"/>
    <w:rsid w:val="001C22AB"/>
    <w:rsid w:val="001C27A3"/>
    <w:rsid w:val="001C3592"/>
    <w:rsid w:val="001C6206"/>
    <w:rsid w:val="001D5BFE"/>
    <w:rsid w:val="001D63B7"/>
    <w:rsid w:val="001D6B4A"/>
    <w:rsid w:val="001D6DE6"/>
    <w:rsid w:val="001D7F5F"/>
    <w:rsid w:val="001E00FE"/>
    <w:rsid w:val="001F027C"/>
    <w:rsid w:val="001F27F7"/>
    <w:rsid w:val="00200605"/>
    <w:rsid w:val="0020118F"/>
    <w:rsid w:val="0020140C"/>
    <w:rsid w:val="002028DB"/>
    <w:rsid w:val="00203439"/>
    <w:rsid w:val="00204AE5"/>
    <w:rsid w:val="0020653D"/>
    <w:rsid w:val="00207C32"/>
    <w:rsid w:val="00212324"/>
    <w:rsid w:val="00212AC7"/>
    <w:rsid w:val="002145BA"/>
    <w:rsid w:val="00215AD7"/>
    <w:rsid w:val="00216CF4"/>
    <w:rsid w:val="002217C0"/>
    <w:rsid w:val="00222360"/>
    <w:rsid w:val="00222F70"/>
    <w:rsid w:val="00224263"/>
    <w:rsid w:val="002243F9"/>
    <w:rsid w:val="00225BFB"/>
    <w:rsid w:val="00225C30"/>
    <w:rsid w:val="0023713D"/>
    <w:rsid w:val="002438E2"/>
    <w:rsid w:val="00244415"/>
    <w:rsid w:val="0025082C"/>
    <w:rsid w:val="00250E49"/>
    <w:rsid w:val="00253F1E"/>
    <w:rsid w:val="00256F7E"/>
    <w:rsid w:val="0025732B"/>
    <w:rsid w:val="00257D0F"/>
    <w:rsid w:val="00261298"/>
    <w:rsid w:val="00274A33"/>
    <w:rsid w:val="00274B80"/>
    <w:rsid w:val="00275281"/>
    <w:rsid w:val="00275568"/>
    <w:rsid w:val="00275FA8"/>
    <w:rsid w:val="0028431A"/>
    <w:rsid w:val="00285574"/>
    <w:rsid w:val="00294075"/>
    <w:rsid w:val="0029534E"/>
    <w:rsid w:val="002979E6"/>
    <w:rsid w:val="00297E32"/>
    <w:rsid w:val="002B026A"/>
    <w:rsid w:val="002B3657"/>
    <w:rsid w:val="002C3D63"/>
    <w:rsid w:val="002C4123"/>
    <w:rsid w:val="002C4CB5"/>
    <w:rsid w:val="002D3A01"/>
    <w:rsid w:val="002E1D72"/>
    <w:rsid w:val="002E4AB5"/>
    <w:rsid w:val="002E7757"/>
    <w:rsid w:val="002F0701"/>
    <w:rsid w:val="002F461D"/>
    <w:rsid w:val="003036E1"/>
    <w:rsid w:val="0031051A"/>
    <w:rsid w:val="0031107C"/>
    <w:rsid w:val="00321161"/>
    <w:rsid w:val="003219E9"/>
    <w:rsid w:val="00322808"/>
    <w:rsid w:val="003257B7"/>
    <w:rsid w:val="00325894"/>
    <w:rsid w:val="00333CC5"/>
    <w:rsid w:val="00335704"/>
    <w:rsid w:val="00337F8D"/>
    <w:rsid w:val="00354EAE"/>
    <w:rsid w:val="00355973"/>
    <w:rsid w:val="003559BE"/>
    <w:rsid w:val="003561FC"/>
    <w:rsid w:val="003565BC"/>
    <w:rsid w:val="00357003"/>
    <w:rsid w:val="00361CE6"/>
    <w:rsid w:val="00366A36"/>
    <w:rsid w:val="00370AE7"/>
    <w:rsid w:val="00371252"/>
    <w:rsid w:val="003718B7"/>
    <w:rsid w:val="00372D46"/>
    <w:rsid w:val="0037427F"/>
    <w:rsid w:val="00374333"/>
    <w:rsid w:val="00375436"/>
    <w:rsid w:val="00376736"/>
    <w:rsid w:val="00376BCF"/>
    <w:rsid w:val="00380A9E"/>
    <w:rsid w:val="00380EA3"/>
    <w:rsid w:val="00381ACB"/>
    <w:rsid w:val="00382A77"/>
    <w:rsid w:val="0039293C"/>
    <w:rsid w:val="003A1DF5"/>
    <w:rsid w:val="003A378E"/>
    <w:rsid w:val="003A4751"/>
    <w:rsid w:val="003A4FC4"/>
    <w:rsid w:val="003B00E3"/>
    <w:rsid w:val="003B037D"/>
    <w:rsid w:val="003B19BE"/>
    <w:rsid w:val="003B617B"/>
    <w:rsid w:val="003B767E"/>
    <w:rsid w:val="003B7E6D"/>
    <w:rsid w:val="003C27CE"/>
    <w:rsid w:val="003D1C92"/>
    <w:rsid w:val="003D315C"/>
    <w:rsid w:val="003D42C6"/>
    <w:rsid w:val="003D5B35"/>
    <w:rsid w:val="003D64D4"/>
    <w:rsid w:val="003F4702"/>
    <w:rsid w:val="003F5967"/>
    <w:rsid w:val="003F6E0B"/>
    <w:rsid w:val="003F7ADE"/>
    <w:rsid w:val="00404ACA"/>
    <w:rsid w:val="004121AA"/>
    <w:rsid w:val="00412B44"/>
    <w:rsid w:val="00422CEC"/>
    <w:rsid w:val="004263E0"/>
    <w:rsid w:val="00427A4F"/>
    <w:rsid w:val="00427F78"/>
    <w:rsid w:val="004308F4"/>
    <w:rsid w:val="00432534"/>
    <w:rsid w:val="00436F46"/>
    <w:rsid w:val="00441FD5"/>
    <w:rsid w:val="0045082D"/>
    <w:rsid w:val="004522BC"/>
    <w:rsid w:val="004543A8"/>
    <w:rsid w:val="00455285"/>
    <w:rsid w:val="00460AC0"/>
    <w:rsid w:val="004614FC"/>
    <w:rsid w:val="00461936"/>
    <w:rsid w:val="004625FF"/>
    <w:rsid w:val="004631AC"/>
    <w:rsid w:val="00470766"/>
    <w:rsid w:val="0047326E"/>
    <w:rsid w:val="0047535B"/>
    <w:rsid w:val="00476EA8"/>
    <w:rsid w:val="00477BF2"/>
    <w:rsid w:val="00477DB0"/>
    <w:rsid w:val="00484A83"/>
    <w:rsid w:val="00492BBD"/>
    <w:rsid w:val="00496082"/>
    <w:rsid w:val="004A3E12"/>
    <w:rsid w:val="004A494E"/>
    <w:rsid w:val="004A4F1D"/>
    <w:rsid w:val="004A6A3E"/>
    <w:rsid w:val="004B275A"/>
    <w:rsid w:val="004B342C"/>
    <w:rsid w:val="004B59D8"/>
    <w:rsid w:val="004B61C9"/>
    <w:rsid w:val="004B7FF2"/>
    <w:rsid w:val="004C28A4"/>
    <w:rsid w:val="004C6801"/>
    <w:rsid w:val="004C7704"/>
    <w:rsid w:val="004D1B3E"/>
    <w:rsid w:val="004D2063"/>
    <w:rsid w:val="004D39BC"/>
    <w:rsid w:val="004D41C0"/>
    <w:rsid w:val="004D4F44"/>
    <w:rsid w:val="004D7752"/>
    <w:rsid w:val="004E212C"/>
    <w:rsid w:val="004E3F22"/>
    <w:rsid w:val="004E5EC6"/>
    <w:rsid w:val="004F170B"/>
    <w:rsid w:val="004F3ED5"/>
    <w:rsid w:val="004F5D04"/>
    <w:rsid w:val="004F747B"/>
    <w:rsid w:val="0050475A"/>
    <w:rsid w:val="005051F0"/>
    <w:rsid w:val="005062E5"/>
    <w:rsid w:val="00512494"/>
    <w:rsid w:val="00514D6B"/>
    <w:rsid w:val="005153FB"/>
    <w:rsid w:val="00515D55"/>
    <w:rsid w:val="00516314"/>
    <w:rsid w:val="005229E7"/>
    <w:rsid w:val="00522B89"/>
    <w:rsid w:val="00523CAC"/>
    <w:rsid w:val="00527C86"/>
    <w:rsid w:val="00531573"/>
    <w:rsid w:val="0053311B"/>
    <w:rsid w:val="005343BA"/>
    <w:rsid w:val="00534D50"/>
    <w:rsid w:val="00542D37"/>
    <w:rsid w:val="005436E1"/>
    <w:rsid w:val="005513BC"/>
    <w:rsid w:val="00554FD5"/>
    <w:rsid w:val="005605EC"/>
    <w:rsid w:val="00563BEA"/>
    <w:rsid w:val="00567E3A"/>
    <w:rsid w:val="00570734"/>
    <w:rsid w:val="00570B72"/>
    <w:rsid w:val="00576D40"/>
    <w:rsid w:val="0058195D"/>
    <w:rsid w:val="005825CB"/>
    <w:rsid w:val="005830E3"/>
    <w:rsid w:val="00586571"/>
    <w:rsid w:val="005875EB"/>
    <w:rsid w:val="00587652"/>
    <w:rsid w:val="00590BBC"/>
    <w:rsid w:val="005921AC"/>
    <w:rsid w:val="0059591E"/>
    <w:rsid w:val="00597A32"/>
    <w:rsid w:val="00597B7B"/>
    <w:rsid w:val="005A4506"/>
    <w:rsid w:val="005B2296"/>
    <w:rsid w:val="005B2297"/>
    <w:rsid w:val="005B2342"/>
    <w:rsid w:val="005B37C7"/>
    <w:rsid w:val="005B547E"/>
    <w:rsid w:val="005B6156"/>
    <w:rsid w:val="005B663E"/>
    <w:rsid w:val="005C5FFE"/>
    <w:rsid w:val="005C7B89"/>
    <w:rsid w:val="005D51BB"/>
    <w:rsid w:val="005D62A0"/>
    <w:rsid w:val="005D6878"/>
    <w:rsid w:val="005E2079"/>
    <w:rsid w:val="005E27B7"/>
    <w:rsid w:val="005E430E"/>
    <w:rsid w:val="005E4411"/>
    <w:rsid w:val="005F2940"/>
    <w:rsid w:val="005F36E8"/>
    <w:rsid w:val="005F3BE7"/>
    <w:rsid w:val="005F7EB8"/>
    <w:rsid w:val="006047A0"/>
    <w:rsid w:val="00605911"/>
    <w:rsid w:val="00605C24"/>
    <w:rsid w:val="00607732"/>
    <w:rsid w:val="00607DD6"/>
    <w:rsid w:val="00611602"/>
    <w:rsid w:val="00611917"/>
    <w:rsid w:val="00612C44"/>
    <w:rsid w:val="0061616B"/>
    <w:rsid w:val="00617421"/>
    <w:rsid w:val="0061746A"/>
    <w:rsid w:val="006176CF"/>
    <w:rsid w:val="006234E5"/>
    <w:rsid w:val="006243DC"/>
    <w:rsid w:val="0062504A"/>
    <w:rsid w:val="00631C6C"/>
    <w:rsid w:val="00632FFE"/>
    <w:rsid w:val="00634AEC"/>
    <w:rsid w:val="00635D05"/>
    <w:rsid w:val="00636749"/>
    <w:rsid w:val="0063678E"/>
    <w:rsid w:val="006368F2"/>
    <w:rsid w:val="0063780F"/>
    <w:rsid w:val="00643DE0"/>
    <w:rsid w:val="00652457"/>
    <w:rsid w:val="006524C3"/>
    <w:rsid w:val="006528A0"/>
    <w:rsid w:val="00655C5E"/>
    <w:rsid w:val="00661E76"/>
    <w:rsid w:val="006632D2"/>
    <w:rsid w:val="00663744"/>
    <w:rsid w:val="0066515F"/>
    <w:rsid w:val="00665955"/>
    <w:rsid w:val="00670DE5"/>
    <w:rsid w:val="00671DD1"/>
    <w:rsid w:val="00673FD9"/>
    <w:rsid w:val="006811B4"/>
    <w:rsid w:val="006848CC"/>
    <w:rsid w:val="0068523C"/>
    <w:rsid w:val="006872BF"/>
    <w:rsid w:val="0069050F"/>
    <w:rsid w:val="00692391"/>
    <w:rsid w:val="0069368A"/>
    <w:rsid w:val="00696320"/>
    <w:rsid w:val="00696604"/>
    <w:rsid w:val="006A3D8C"/>
    <w:rsid w:val="006B1B7C"/>
    <w:rsid w:val="006B3A77"/>
    <w:rsid w:val="006B5530"/>
    <w:rsid w:val="006B63B7"/>
    <w:rsid w:val="006C7611"/>
    <w:rsid w:val="006D0F9C"/>
    <w:rsid w:val="006D6202"/>
    <w:rsid w:val="006E59B5"/>
    <w:rsid w:val="006F0912"/>
    <w:rsid w:val="006F2D51"/>
    <w:rsid w:val="006F351D"/>
    <w:rsid w:val="006F5F38"/>
    <w:rsid w:val="00701BC9"/>
    <w:rsid w:val="00702379"/>
    <w:rsid w:val="007034FC"/>
    <w:rsid w:val="00704707"/>
    <w:rsid w:val="00706465"/>
    <w:rsid w:val="00713633"/>
    <w:rsid w:val="007157BA"/>
    <w:rsid w:val="007214DC"/>
    <w:rsid w:val="00723431"/>
    <w:rsid w:val="00723B7A"/>
    <w:rsid w:val="00726260"/>
    <w:rsid w:val="007300AE"/>
    <w:rsid w:val="007307E5"/>
    <w:rsid w:val="00730AC9"/>
    <w:rsid w:val="0073195D"/>
    <w:rsid w:val="007346E4"/>
    <w:rsid w:val="007357A6"/>
    <w:rsid w:val="00735E61"/>
    <w:rsid w:val="00737587"/>
    <w:rsid w:val="007434F2"/>
    <w:rsid w:val="00745E5C"/>
    <w:rsid w:val="0074798F"/>
    <w:rsid w:val="00751A9B"/>
    <w:rsid w:val="007526E9"/>
    <w:rsid w:val="00753827"/>
    <w:rsid w:val="00760CB9"/>
    <w:rsid w:val="00762729"/>
    <w:rsid w:val="00762A04"/>
    <w:rsid w:val="00762B86"/>
    <w:rsid w:val="00765A3A"/>
    <w:rsid w:val="00765C20"/>
    <w:rsid w:val="0077172B"/>
    <w:rsid w:val="00772027"/>
    <w:rsid w:val="007809A2"/>
    <w:rsid w:val="007815EF"/>
    <w:rsid w:val="0078455A"/>
    <w:rsid w:val="00786160"/>
    <w:rsid w:val="00787A2B"/>
    <w:rsid w:val="00790D4F"/>
    <w:rsid w:val="00793412"/>
    <w:rsid w:val="00797F79"/>
    <w:rsid w:val="007A68AD"/>
    <w:rsid w:val="007A764E"/>
    <w:rsid w:val="007B6674"/>
    <w:rsid w:val="007C371B"/>
    <w:rsid w:val="007C38DF"/>
    <w:rsid w:val="007C4A8B"/>
    <w:rsid w:val="007D00D1"/>
    <w:rsid w:val="007D11EB"/>
    <w:rsid w:val="007D44E3"/>
    <w:rsid w:val="007D68ED"/>
    <w:rsid w:val="007D74C9"/>
    <w:rsid w:val="007E0BD0"/>
    <w:rsid w:val="007E0F43"/>
    <w:rsid w:val="007E3DAA"/>
    <w:rsid w:val="007E588A"/>
    <w:rsid w:val="007E6F1D"/>
    <w:rsid w:val="007F0B38"/>
    <w:rsid w:val="007F3D25"/>
    <w:rsid w:val="007F7656"/>
    <w:rsid w:val="0080076F"/>
    <w:rsid w:val="00801057"/>
    <w:rsid w:val="008040C2"/>
    <w:rsid w:val="00807F20"/>
    <w:rsid w:val="00811B67"/>
    <w:rsid w:val="00813BE5"/>
    <w:rsid w:val="008168CC"/>
    <w:rsid w:val="00820C3F"/>
    <w:rsid w:val="0082171A"/>
    <w:rsid w:val="008260C5"/>
    <w:rsid w:val="0083165F"/>
    <w:rsid w:val="008324A4"/>
    <w:rsid w:val="0083456E"/>
    <w:rsid w:val="008346B6"/>
    <w:rsid w:val="00846677"/>
    <w:rsid w:val="00847D00"/>
    <w:rsid w:val="0085493D"/>
    <w:rsid w:val="008555A9"/>
    <w:rsid w:val="008555E5"/>
    <w:rsid w:val="00857A17"/>
    <w:rsid w:val="00862CAA"/>
    <w:rsid w:val="00865B0A"/>
    <w:rsid w:val="00877A9D"/>
    <w:rsid w:val="008809DA"/>
    <w:rsid w:val="0088515C"/>
    <w:rsid w:val="0088697B"/>
    <w:rsid w:val="00886DF0"/>
    <w:rsid w:val="00886EB4"/>
    <w:rsid w:val="00892340"/>
    <w:rsid w:val="008A1BC9"/>
    <w:rsid w:val="008A2C36"/>
    <w:rsid w:val="008A5B05"/>
    <w:rsid w:val="008B3BF2"/>
    <w:rsid w:val="008B49E4"/>
    <w:rsid w:val="008B54B0"/>
    <w:rsid w:val="008B797C"/>
    <w:rsid w:val="008C0B26"/>
    <w:rsid w:val="008C15D8"/>
    <w:rsid w:val="008C51A9"/>
    <w:rsid w:val="008C5574"/>
    <w:rsid w:val="008C56B4"/>
    <w:rsid w:val="008D19DA"/>
    <w:rsid w:val="008D7DF1"/>
    <w:rsid w:val="008E22A2"/>
    <w:rsid w:val="008E5B2C"/>
    <w:rsid w:val="008F04DF"/>
    <w:rsid w:val="008F174C"/>
    <w:rsid w:val="008F21FF"/>
    <w:rsid w:val="008F2AC8"/>
    <w:rsid w:val="008F63A5"/>
    <w:rsid w:val="009017C9"/>
    <w:rsid w:val="00902D5C"/>
    <w:rsid w:val="00903AAF"/>
    <w:rsid w:val="00903B3B"/>
    <w:rsid w:val="00920126"/>
    <w:rsid w:val="00923BF7"/>
    <w:rsid w:val="00923CE2"/>
    <w:rsid w:val="0092738C"/>
    <w:rsid w:val="0093005C"/>
    <w:rsid w:val="009312BF"/>
    <w:rsid w:val="00931D13"/>
    <w:rsid w:val="00934CC6"/>
    <w:rsid w:val="00936103"/>
    <w:rsid w:val="00936841"/>
    <w:rsid w:val="00943433"/>
    <w:rsid w:val="00944912"/>
    <w:rsid w:val="009507A2"/>
    <w:rsid w:val="009518AC"/>
    <w:rsid w:val="00951FC9"/>
    <w:rsid w:val="00955E36"/>
    <w:rsid w:val="00955F81"/>
    <w:rsid w:val="0095622E"/>
    <w:rsid w:val="0095696F"/>
    <w:rsid w:val="00956DB7"/>
    <w:rsid w:val="00960789"/>
    <w:rsid w:val="00960E48"/>
    <w:rsid w:val="00962678"/>
    <w:rsid w:val="00967428"/>
    <w:rsid w:val="00980AEC"/>
    <w:rsid w:val="00980CC4"/>
    <w:rsid w:val="00986990"/>
    <w:rsid w:val="00986AB0"/>
    <w:rsid w:val="00992964"/>
    <w:rsid w:val="0099465E"/>
    <w:rsid w:val="009A2856"/>
    <w:rsid w:val="009A2884"/>
    <w:rsid w:val="009A60FD"/>
    <w:rsid w:val="009B3590"/>
    <w:rsid w:val="009B52B7"/>
    <w:rsid w:val="009B6C98"/>
    <w:rsid w:val="009C0C9C"/>
    <w:rsid w:val="009C100A"/>
    <w:rsid w:val="009C2419"/>
    <w:rsid w:val="009C2686"/>
    <w:rsid w:val="009C2F9B"/>
    <w:rsid w:val="009C3906"/>
    <w:rsid w:val="009D043B"/>
    <w:rsid w:val="009E2224"/>
    <w:rsid w:val="009E38B8"/>
    <w:rsid w:val="009E761C"/>
    <w:rsid w:val="009E7CB5"/>
    <w:rsid w:val="009F03C9"/>
    <w:rsid w:val="009F7DEF"/>
    <w:rsid w:val="009F7FF7"/>
    <w:rsid w:val="00A0278B"/>
    <w:rsid w:val="00A05AD5"/>
    <w:rsid w:val="00A10D96"/>
    <w:rsid w:val="00A10E59"/>
    <w:rsid w:val="00A124EE"/>
    <w:rsid w:val="00A2087B"/>
    <w:rsid w:val="00A212F1"/>
    <w:rsid w:val="00A23771"/>
    <w:rsid w:val="00A24D1F"/>
    <w:rsid w:val="00A255CD"/>
    <w:rsid w:val="00A273B4"/>
    <w:rsid w:val="00A3376C"/>
    <w:rsid w:val="00A4116C"/>
    <w:rsid w:val="00A44BA5"/>
    <w:rsid w:val="00A52FB7"/>
    <w:rsid w:val="00A553AC"/>
    <w:rsid w:val="00A608E8"/>
    <w:rsid w:val="00A6460E"/>
    <w:rsid w:val="00A665E1"/>
    <w:rsid w:val="00A671A5"/>
    <w:rsid w:val="00A738A4"/>
    <w:rsid w:val="00A75DA1"/>
    <w:rsid w:val="00A76E20"/>
    <w:rsid w:val="00A80CD6"/>
    <w:rsid w:val="00A81EA6"/>
    <w:rsid w:val="00A8280F"/>
    <w:rsid w:val="00A94F95"/>
    <w:rsid w:val="00A95EDC"/>
    <w:rsid w:val="00AA50AE"/>
    <w:rsid w:val="00AB11DD"/>
    <w:rsid w:val="00AB2E93"/>
    <w:rsid w:val="00AB6344"/>
    <w:rsid w:val="00AB6A13"/>
    <w:rsid w:val="00AB77CF"/>
    <w:rsid w:val="00AC63F1"/>
    <w:rsid w:val="00AC7269"/>
    <w:rsid w:val="00AD00F1"/>
    <w:rsid w:val="00AD6D25"/>
    <w:rsid w:val="00AD7267"/>
    <w:rsid w:val="00AE3A79"/>
    <w:rsid w:val="00AE4A4C"/>
    <w:rsid w:val="00AF1A3B"/>
    <w:rsid w:val="00AF375A"/>
    <w:rsid w:val="00AF6708"/>
    <w:rsid w:val="00AF6B62"/>
    <w:rsid w:val="00B01C0C"/>
    <w:rsid w:val="00B074D4"/>
    <w:rsid w:val="00B108EC"/>
    <w:rsid w:val="00B11F4F"/>
    <w:rsid w:val="00B213BD"/>
    <w:rsid w:val="00B301ED"/>
    <w:rsid w:val="00B305E8"/>
    <w:rsid w:val="00B31E3C"/>
    <w:rsid w:val="00B32FF9"/>
    <w:rsid w:val="00B333A4"/>
    <w:rsid w:val="00B3391D"/>
    <w:rsid w:val="00B34785"/>
    <w:rsid w:val="00B36E2A"/>
    <w:rsid w:val="00B372B0"/>
    <w:rsid w:val="00B372BD"/>
    <w:rsid w:val="00B4032B"/>
    <w:rsid w:val="00B409B2"/>
    <w:rsid w:val="00B411C5"/>
    <w:rsid w:val="00B4340E"/>
    <w:rsid w:val="00B44E8A"/>
    <w:rsid w:val="00B52D9E"/>
    <w:rsid w:val="00B537FE"/>
    <w:rsid w:val="00B54AD3"/>
    <w:rsid w:val="00B55F8C"/>
    <w:rsid w:val="00B60F97"/>
    <w:rsid w:val="00B64EF5"/>
    <w:rsid w:val="00B65EA3"/>
    <w:rsid w:val="00B66A38"/>
    <w:rsid w:val="00B66A76"/>
    <w:rsid w:val="00B74352"/>
    <w:rsid w:val="00B77AC4"/>
    <w:rsid w:val="00B814D7"/>
    <w:rsid w:val="00B819A3"/>
    <w:rsid w:val="00B84471"/>
    <w:rsid w:val="00B91E3C"/>
    <w:rsid w:val="00B92BE4"/>
    <w:rsid w:val="00B92C41"/>
    <w:rsid w:val="00B94F02"/>
    <w:rsid w:val="00BA0F9E"/>
    <w:rsid w:val="00BA2065"/>
    <w:rsid w:val="00BB0A43"/>
    <w:rsid w:val="00BB23B3"/>
    <w:rsid w:val="00BB45A9"/>
    <w:rsid w:val="00BB4BB6"/>
    <w:rsid w:val="00BC0409"/>
    <w:rsid w:val="00BC1037"/>
    <w:rsid w:val="00BC1568"/>
    <w:rsid w:val="00BD0A07"/>
    <w:rsid w:val="00BD1F0B"/>
    <w:rsid w:val="00BD444E"/>
    <w:rsid w:val="00BD4B22"/>
    <w:rsid w:val="00BE2E15"/>
    <w:rsid w:val="00BE4BF6"/>
    <w:rsid w:val="00BE4E0B"/>
    <w:rsid w:val="00BF14CC"/>
    <w:rsid w:val="00BF2CEF"/>
    <w:rsid w:val="00BF5108"/>
    <w:rsid w:val="00C009C4"/>
    <w:rsid w:val="00C02923"/>
    <w:rsid w:val="00C05D03"/>
    <w:rsid w:val="00C17EB6"/>
    <w:rsid w:val="00C21293"/>
    <w:rsid w:val="00C21B86"/>
    <w:rsid w:val="00C25471"/>
    <w:rsid w:val="00C31823"/>
    <w:rsid w:val="00C32DD5"/>
    <w:rsid w:val="00C33223"/>
    <w:rsid w:val="00C369A9"/>
    <w:rsid w:val="00C4343C"/>
    <w:rsid w:val="00C439ED"/>
    <w:rsid w:val="00C45D0A"/>
    <w:rsid w:val="00C46810"/>
    <w:rsid w:val="00C50675"/>
    <w:rsid w:val="00C51EDB"/>
    <w:rsid w:val="00C5727B"/>
    <w:rsid w:val="00C57FF3"/>
    <w:rsid w:val="00C604BE"/>
    <w:rsid w:val="00C60525"/>
    <w:rsid w:val="00C649EF"/>
    <w:rsid w:val="00C72F9C"/>
    <w:rsid w:val="00C776BE"/>
    <w:rsid w:val="00C80BC1"/>
    <w:rsid w:val="00C80F2F"/>
    <w:rsid w:val="00C828C9"/>
    <w:rsid w:val="00C85380"/>
    <w:rsid w:val="00C92E41"/>
    <w:rsid w:val="00C964C5"/>
    <w:rsid w:val="00CA0714"/>
    <w:rsid w:val="00CA0C24"/>
    <w:rsid w:val="00CA0CAB"/>
    <w:rsid w:val="00CA236A"/>
    <w:rsid w:val="00CA2CE6"/>
    <w:rsid w:val="00CA7A16"/>
    <w:rsid w:val="00CB1C6A"/>
    <w:rsid w:val="00CB6795"/>
    <w:rsid w:val="00CC1B94"/>
    <w:rsid w:val="00CC2C97"/>
    <w:rsid w:val="00CC518C"/>
    <w:rsid w:val="00CD1C35"/>
    <w:rsid w:val="00CD373A"/>
    <w:rsid w:val="00CD425B"/>
    <w:rsid w:val="00CD48DC"/>
    <w:rsid w:val="00CD7372"/>
    <w:rsid w:val="00CE2FCB"/>
    <w:rsid w:val="00CE5ED5"/>
    <w:rsid w:val="00CE7A66"/>
    <w:rsid w:val="00CF032C"/>
    <w:rsid w:val="00CF0E3F"/>
    <w:rsid w:val="00CF3510"/>
    <w:rsid w:val="00CF43C7"/>
    <w:rsid w:val="00CF7EF1"/>
    <w:rsid w:val="00D00EB2"/>
    <w:rsid w:val="00D050DB"/>
    <w:rsid w:val="00D0554B"/>
    <w:rsid w:val="00D05B8A"/>
    <w:rsid w:val="00D10BA2"/>
    <w:rsid w:val="00D12A3D"/>
    <w:rsid w:val="00D12FA4"/>
    <w:rsid w:val="00D138DB"/>
    <w:rsid w:val="00D172E0"/>
    <w:rsid w:val="00D21116"/>
    <w:rsid w:val="00D23811"/>
    <w:rsid w:val="00D35824"/>
    <w:rsid w:val="00D358B0"/>
    <w:rsid w:val="00D361B6"/>
    <w:rsid w:val="00D4222D"/>
    <w:rsid w:val="00D425EF"/>
    <w:rsid w:val="00D449E3"/>
    <w:rsid w:val="00D47799"/>
    <w:rsid w:val="00D50687"/>
    <w:rsid w:val="00D53FBD"/>
    <w:rsid w:val="00D5475A"/>
    <w:rsid w:val="00D56666"/>
    <w:rsid w:val="00D572D7"/>
    <w:rsid w:val="00D62E0B"/>
    <w:rsid w:val="00D62E77"/>
    <w:rsid w:val="00D63B53"/>
    <w:rsid w:val="00D64ABD"/>
    <w:rsid w:val="00D65FB3"/>
    <w:rsid w:val="00D66624"/>
    <w:rsid w:val="00D72639"/>
    <w:rsid w:val="00D73507"/>
    <w:rsid w:val="00D742CF"/>
    <w:rsid w:val="00D77B98"/>
    <w:rsid w:val="00D80F6F"/>
    <w:rsid w:val="00D871CE"/>
    <w:rsid w:val="00DA3A45"/>
    <w:rsid w:val="00DA6306"/>
    <w:rsid w:val="00DB192F"/>
    <w:rsid w:val="00DB308E"/>
    <w:rsid w:val="00DB7ED0"/>
    <w:rsid w:val="00DC364B"/>
    <w:rsid w:val="00DC7446"/>
    <w:rsid w:val="00DC76CF"/>
    <w:rsid w:val="00DD24A5"/>
    <w:rsid w:val="00DD2EAF"/>
    <w:rsid w:val="00DD4E47"/>
    <w:rsid w:val="00DE5B15"/>
    <w:rsid w:val="00DF01BF"/>
    <w:rsid w:val="00DF2A29"/>
    <w:rsid w:val="00DF4401"/>
    <w:rsid w:val="00DF578C"/>
    <w:rsid w:val="00DF7351"/>
    <w:rsid w:val="00E00FE4"/>
    <w:rsid w:val="00E01B5B"/>
    <w:rsid w:val="00E028DE"/>
    <w:rsid w:val="00E2082A"/>
    <w:rsid w:val="00E215DD"/>
    <w:rsid w:val="00E2462B"/>
    <w:rsid w:val="00E2498D"/>
    <w:rsid w:val="00E31379"/>
    <w:rsid w:val="00E34647"/>
    <w:rsid w:val="00E361B4"/>
    <w:rsid w:val="00E37607"/>
    <w:rsid w:val="00E505C9"/>
    <w:rsid w:val="00E50D04"/>
    <w:rsid w:val="00E5174C"/>
    <w:rsid w:val="00E627FB"/>
    <w:rsid w:val="00E636CE"/>
    <w:rsid w:val="00E63E5F"/>
    <w:rsid w:val="00E658EE"/>
    <w:rsid w:val="00E71500"/>
    <w:rsid w:val="00E71DA9"/>
    <w:rsid w:val="00E76D2C"/>
    <w:rsid w:val="00E803CB"/>
    <w:rsid w:val="00E816B5"/>
    <w:rsid w:val="00E84E19"/>
    <w:rsid w:val="00E874AC"/>
    <w:rsid w:val="00E87EE2"/>
    <w:rsid w:val="00E907C4"/>
    <w:rsid w:val="00E95A0F"/>
    <w:rsid w:val="00EB3090"/>
    <w:rsid w:val="00EB54FE"/>
    <w:rsid w:val="00EC2940"/>
    <w:rsid w:val="00EC669D"/>
    <w:rsid w:val="00ED4F62"/>
    <w:rsid w:val="00ED7E98"/>
    <w:rsid w:val="00EE0D10"/>
    <w:rsid w:val="00EF501E"/>
    <w:rsid w:val="00F033F8"/>
    <w:rsid w:val="00F040F8"/>
    <w:rsid w:val="00F050A6"/>
    <w:rsid w:val="00F051F7"/>
    <w:rsid w:val="00F0558E"/>
    <w:rsid w:val="00F06FDD"/>
    <w:rsid w:val="00F07854"/>
    <w:rsid w:val="00F117B1"/>
    <w:rsid w:val="00F12005"/>
    <w:rsid w:val="00F12B2D"/>
    <w:rsid w:val="00F202CE"/>
    <w:rsid w:val="00F24366"/>
    <w:rsid w:val="00F26CBE"/>
    <w:rsid w:val="00F26F0A"/>
    <w:rsid w:val="00F27A57"/>
    <w:rsid w:val="00F345F6"/>
    <w:rsid w:val="00F3628F"/>
    <w:rsid w:val="00F365EB"/>
    <w:rsid w:val="00F40000"/>
    <w:rsid w:val="00F41814"/>
    <w:rsid w:val="00F45114"/>
    <w:rsid w:val="00F4592F"/>
    <w:rsid w:val="00F46B04"/>
    <w:rsid w:val="00F46DBB"/>
    <w:rsid w:val="00F51C84"/>
    <w:rsid w:val="00F52496"/>
    <w:rsid w:val="00F524B4"/>
    <w:rsid w:val="00F62E9C"/>
    <w:rsid w:val="00F70724"/>
    <w:rsid w:val="00F73091"/>
    <w:rsid w:val="00F76B9D"/>
    <w:rsid w:val="00F81339"/>
    <w:rsid w:val="00F835CF"/>
    <w:rsid w:val="00F842C9"/>
    <w:rsid w:val="00F86721"/>
    <w:rsid w:val="00F9128B"/>
    <w:rsid w:val="00F93301"/>
    <w:rsid w:val="00F95064"/>
    <w:rsid w:val="00F96956"/>
    <w:rsid w:val="00FA5625"/>
    <w:rsid w:val="00FA663C"/>
    <w:rsid w:val="00FB0370"/>
    <w:rsid w:val="00FB21CE"/>
    <w:rsid w:val="00FB527D"/>
    <w:rsid w:val="00FC04C0"/>
    <w:rsid w:val="00FC0E3C"/>
    <w:rsid w:val="00FE08A5"/>
    <w:rsid w:val="00FE22E1"/>
    <w:rsid w:val="00FE439A"/>
    <w:rsid w:val="00FE6748"/>
    <w:rsid w:val="00FF0ABA"/>
    <w:rsid w:val="00FF53A9"/>
    <w:rsid w:val="00FF592E"/>
    <w:rsid w:val="00FF7272"/>
    <w:rsid w:val="00FF7730"/>
    <w:rsid w:val="00FF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668AEE-9ABD-4D7A-A037-BE80B9A3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75A"/>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C50675"/>
    <w:pPr>
      <w:autoSpaceDE w:val="0"/>
      <w:autoSpaceDN w:val="0"/>
      <w:adjustRightInd w:val="0"/>
      <w:jc w:val="right"/>
    </w:pPr>
    <w:rPr>
      <w:szCs w:val="20"/>
      <w:lang w:eastAsia="ro-RO"/>
    </w:rPr>
  </w:style>
  <w:style w:type="paragraph" w:styleId="Caption">
    <w:name w:val="caption"/>
    <w:basedOn w:val="Normal"/>
    <w:next w:val="Normal"/>
    <w:qFormat/>
    <w:rsid w:val="00C50675"/>
    <w:rPr>
      <w:bCs/>
      <w:sz w:val="28"/>
      <w:szCs w:val="20"/>
      <w:lang w:eastAsia="ro-RO"/>
    </w:rPr>
  </w:style>
  <w:style w:type="character" w:customStyle="1" w:styleId="FontStyle19">
    <w:name w:val="Font Style19"/>
    <w:rsid w:val="00C50675"/>
    <w:rPr>
      <w:rFonts w:ascii="Bookman Old Style" w:hAnsi="Bookman Old Style" w:cs="Bookman Old Style"/>
      <w:sz w:val="18"/>
      <w:szCs w:val="18"/>
    </w:rPr>
  </w:style>
  <w:style w:type="character" w:customStyle="1" w:styleId="FontStyle20">
    <w:name w:val="Font Style20"/>
    <w:rsid w:val="00C50675"/>
    <w:rPr>
      <w:rFonts w:ascii="Bookman Old Style" w:hAnsi="Bookman Old Style" w:cs="Bookman Old Style"/>
      <w:i/>
      <w:iCs/>
      <w:sz w:val="18"/>
      <w:szCs w:val="18"/>
    </w:rPr>
  </w:style>
  <w:style w:type="paragraph" w:customStyle="1" w:styleId="Style3">
    <w:name w:val="Style3"/>
    <w:basedOn w:val="Normal"/>
    <w:rsid w:val="00C50675"/>
    <w:pPr>
      <w:widowControl w:val="0"/>
      <w:autoSpaceDE w:val="0"/>
      <w:autoSpaceDN w:val="0"/>
      <w:adjustRightInd w:val="0"/>
    </w:pPr>
    <w:rPr>
      <w:rFonts w:ascii="Bookman Old Style" w:hAnsi="Bookman Old Style"/>
      <w:lang w:val="en-US"/>
    </w:rPr>
  </w:style>
  <w:style w:type="paragraph" w:customStyle="1" w:styleId="Listparagraf1">
    <w:name w:val="Listă paragraf1"/>
    <w:basedOn w:val="Normal"/>
    <w:rsid w:val="00C50675"/>
    <w:pPr>
      <w:ind w:left="720"/>
    </w:pPr>
    <w:rPr>
      <w:rFonts w:eastAsia="Calibri"/>
    </w:rPr>
  </w:style>
  <w:style w:type="paragraph" w:styleId="ListParagraph">
    <w:name w:val="List Paragraph"/>
    <w:aliases w:val="lp1,Heading x1,Lettre d'introduction,1st level - Bullet List Paragraph,Paragrafo elenco,body 2,List Paragraph11,Lista 1,lp11,Liste 1,Use Case List Paragraph,Colorful List - Accent 11,Bullet List,YC Bulet,2,Dot pt"/>
    <w:basedOn w:val="Normal"/>
    <w:link w:val="ListParagraphChar"/>
    <w:qFormat/>
    <w:rsid w:val="00C50675"/>
    <w:pPr>
      <w:ind w:left="720"/>
    </w:pPr>
    <w:rPr>
      <w:rFonts w:eastAsia="Calibri"/>
    </w:rPr>
  </w:style>
  <w:style w:type="paragraph" w:customStyle="1" w:styleId="Listparagraf2">
    <w:name w:val="Listă paragraf2"/>
    <w:basedOn w:val="Normal"/>
    <w:qFormat/>
    <w:rsid w:val="00C50675"/>
    <w:pPr>
      <w:spacing w:after="200" w:line="276" w:lineRule="auto"/>
      <w:ind w:left="720"/>
      <w:contextualSpacing/>
    </w:pPr>
    <w:rPr>
      <w:rFonts w:ascii="Calibri" w:eastAsia="Calibri" w:hAnsi="Calibri"/>
      <w:sz w:val="22"/>
      <w:szCs w:val="22"/>
      <w:lang w:val="en-US"/>
    </w:rPr>
  </w:style>
  <w:style w:type="paragraph" w:customStyle="1" w:styleId="ListParagraph1">
    <w:name w:val="List Paragraph1"/>
    <w:basedOn w:val="Normal"/>
    <w:rsid w:val="00C50675"/>
    <w:pPr>
      <w:ind w:left="720"/>
    </w:pPr>
    <w:rPr>
      <w:rFonts w:eastAsia="Calibri"/>
    </w:rPr>
  </w:style>
  <w:style w:type="paragraph" w:customStyle="1" w:styleId="NoSpacing1">
    <w:name w:val="No Spacing1"/>
    <w:rsid w:val="00C50675"/>
    <w:pPr>
      <w:spacing w:after="0" w:line="240" w:lineRule="auto"/>
    </w:pPr>
    <w:rPr>
      <w:rFonts w:ascii="Times New Roman" w:eastAsia="Times New Roman" w:hAnsi="Times New Roman" w:cs="Times New Roman"/>
      <w:sz w:val="24"/>
      <w:szCs w:val="24"/>
      <w:lang w:val="ro-RO"/>
    </w:rPr>
  </w:style>
  <w:style w:type="character" w:customStyle="1" w:styleId="apple-style-span">
    <w:name w:val="apple-style-span"/>
    <w:rsid w:val="00B36E2A"/>
  </w:style>
  <w:style w:type="character" w:customStyle="1" w:styleId="apple-converted-space">
    <w:name w:val="apple-converted-space"/>
    <w:rsid w:val="00B36E2A"/>
  </w:style>
  <w:style w:type="paragraph" w:styleId="Header">
    <w:name w:val="header"/>
    <w:basedOn w:val="Normal"/>
    <w:link w:val="HeaderChar"/>
    <w:uiPriority w:val="99"/>
    <w:unhideWhenUsed/>
    <w:rsid w:val="002217C0"/>
    <w:pPr>
      <w:tabs>
        <w:tab w:val="center" w:pos="4680"/>
        <w:tab w:val="right" w:pos="9360"/>
      </w:tabs>
    </w:pPr>
  </w:style>
  <w:style w:type="character" w:customStyle="1" w:styleId="HeaderChar">
    <w:name w:val="Header Char"/>
    <w:basedOn w:val="DefaultParagraphFont"/>
    <w:link w:val="Header"/>
    <w:uiPriority w:val="99"/>
    <w:rsid w:val="002217C0"/>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2217C0"/>
    <w:pPr>
      <w:tabs>
        <w:tab w:val="center" w:pos="4680"/>
        <w:tab w:val="right" w:pos="9360"/>
      </w:tabs>
    </w:pPr>
  </w:style>
  <w:style w:type="character" w:customStyle="1" w:styleId="FooterChar">
    <w:name w:val="Footer Char"/>
    <w:basedOn w:val="DefaultParagraphFont"/>
    <w:link w:val="Footer"/>
    <w:uiPriority w:val="99"/>
    <w:rsid w:val="002217C0"/>
    <w:rPr>
      <w:rFonts w:ascii="Times New Roman" w:eastAsia="Times New Roman" w:hAnsi="Times New Roman" w:cs="Times New Roman"/>
      <w:sz w:val="24"/>
      <w:szCs w:val="24"/>
      <w:lang w:val="ro-RO"/>
    </w:rPr>
  </w:style>
  <w:style w:type="character" w:styleId="Hyperlink">
    <w:name w:val="Hyperlink"/>
    <w:rsid w:val="007D74C9"/>
    <w:rPr>
      <w:rFonts w:cs="Times New Roman"/>
      <w:color w:val="0000FF"/>
      <w:u w:val="single"/>
    </w:rPr>
  </w:style>
  <w:style w:type="paragraph" w:styleId="BalloonText">
    <w:name w:val="Balloon Text"/>
    <w:basedOn w:val="Normal"/>
    <w:link w:val="BalloonTextChar"/>
    <w:uiPriority w:val="99"/>
    <w:semiHidden/>
    <w:unhideWhenUsed/>
    <w:rsid w:val="00061B9A"/>
    <w:rPr>
      <w:rFonts w:ascii="Tahoma" w:hAnsi="Tahoma" w:cs="Tahoma"/>
      <w:sz w:val="16"/>
      <w:szCs w:val="16"/>
    </w:rPr>
  </w:style>
  <w:style w:type="character" w:customStyle="1" w:styleId="BalloonTextChar">
    <w:name w:val="Balloon Text Char"/>
    <w:basedOn w:val="DefaultParagraphFont"/>
    <w:link w:val="BalloonText"/>
    <w:uiPriority w:val="99"/>
    <w:semiHidden/>
    <w:rsid w:val="00061B9A"/>
    <w:rPr>
      <w:rFonts w:ascii="Tahoma" w:eastAsia="Times New Roman" w:hAnsi="Tahoma" w:cs="Tahoma"/>
      <w:sz w:val="16"/>
      <w:szCs w:val="16"/>
      <w:lang w:val="ro-RO"/>
    </w:rPr>
  </w:style>
  <w:style w:type="character" w:customStyle="1" w:styleId="li1">
    <w:name w:val="li1"/>
    <w:rsid w:val="00F07854"/>
    <w:rPr>
      <w:b/>
      <w:bCs/>
      <w:color w:val="8F0000"/>
    </w:rPr>
  </w:style>
  <w:style w:type="character" w:customStyle="1" w:styleId="tli1">
    <w:name w:val="tli1"/>
    <w:basedOn w:val="DefaultParagraphFont"/>
    <w:rsid w:val="00F07854"/>
  </w:style>
  <w:style w:type="paragraph" w:customStyle="1" w:styleId="Default">
    <w:name w:val="Default"/>
    <w:rsid w:val="007A764E"/>
    <w:pPr>
      <w:autoSpaceDE w:val="0"/>
      <w:autoSpaceDN w:val="0"/>
      <w:adjustRightInd w:val="0"/>
      <w:spacing w:after="0" w:line="240" w:lineRule="auto"/>
    </w:pPr>
    <w:rPr>
      <w:rFonts w:ascii="Calibri" w:eastAsia="Times New Roman" w:hAnsi="Calibri" w:cs="Calibri"/>
      <w:color w:val="000000"/>
      <w:sz w:val="24"/>
      <w:szCs w:val="24"/>
    </w:rPr>
  </w:style>
  <w:style w:type="paragraph" w:styleId="FootnoteText">
    <w:name w:val="footnote text"/>
    <w:aliases w:val="Char Char Char Char Char Char Char Char,Char Char Char,Footnote Text Char2 Char,Footnote Text Char Char Char,Footnote Text Char1 Char Char,Footnote Text Char Char1 Char Char,Footnote Text Char Char Char Char Char Char Char,fn,Footnotes,ft"/>
    <w:basedOn w:val="Normal"/>
    <w:link w:val="FootnoteTextChar"/>
    <w:uiPriority w:val="99"/>
    <w:rsid w:val="007A764E"/>
    <w:rPr>
      <w:sz w:val="20"/>
      <w:szCs w:val="20"/>
    </w:rPr>
  </w:style>
  <w:style w:type="character" w:customStyle="1" w:styleId="FootnoteTextChar">
    <w:name w:val="Footnote Text Char"/>
    <w:aliases w:val="Char Char Char Char Char Char Char Char Char,Char Char Char Char,Footnote Text Char2 Char Char,Footnote Text Char Char Char Char,Footnote Text Char1 Char Char Char,Footnote Text Char Char1 Char Char Char,fn Char,Footnotes Char,ft Char"/>
    <w:basedOn w:val="DefaultParagraphFont"/>
    <w:link w:val="FootnoteText"/>
    <w:uiPriority w:val="99"/>
    <w:rsid w:val="007A764E"/>
    <w:rPr>
      <w:rFonts w:ascii="Times New Roman" w:eastAsia="Times New Roman" w:hAnsi="Times New Roman" w:cs="Times New Roman"/>
      <w:sz w:val="20"/>
      <w:szCs w:val="20"/>
      <w:lang w:val="ro-RO"/>
    </w:rPr>
  </w:style>
  <w:style w:type="character" w:styleId="FootnoteReference">
    <w:name w:val="footnote reference"/>
    <w:aliases w:val="Footnote Reference Arial Char,Footnote Reference Arial1 Char,Footnote Reference Arial2 Char,Footnote Reference Arial11 Char,Footnote Reference Arial3 Char,Footnote Reference Arial12 Char,Footnote Reference Arial4 Char,Ref Char"/>
    <w:link w:val="FootnoteReferenceArial"/>
    <w:uiPriority w:val="99"/>
    <w:rsid w:val="007A764E"/>
    <w:rPr>
      <w:vertAlign w:val="superscript"/>
    </w:rPr>
  </w:style>
  <w:style w:type="paragraph" w:customStyle="1" w:styleId="CaracterCharCharCaracterCaracterCaracterCaracterCaracterCaracterCaracterCaracterCaracter">
    <w:name w:val="Caracter Char Char Caracter Caracter Caracter Caracter Caracter Caracter Caracter Caracter Caracter"/>
    <w:basedOn w:val="Normal"/>
    <w:rsid w:val="00025227"/>
    <w:rPr>
      <w:lang w:val="pl-PL" w:eastAsia="pl-PL"/>
    </w:rPr>
  </w:style>
  <w:style w:type="table" w:styleId="TableGrid">
    <w:name w:val="Table Grid"/>
    <w:basedOn w:val="TableNormal"/>
    <w:uiPriority w:val="59"/>
    <w:rsid w:val="00017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44415"/>
    <w:pPr>
      <w:spacing w:after="0" w:line="240" w:lineRule="auto"/>
    </w:pPr>
    <w:rPr>
      <w:rFonts w:ascii="Calibri" w:eastAsia="Calibri" w:hAnsi="Calibri" w:cs="Times New Roman"/>
    </w:rPr>
  </w:style>
  <w:style w:type="character" w:customStyle="1" w:styleId="NoSpacingChar">
    <w:name w:val="No Spacing Char"/>
    <w:link w:val="NoSpacing"/>
    <w:uiPriority w:val="1"/>
    <w:rsid w:val="00244415"/>
    <w:rPr>
      <w:rFonts w:ascii="Calibri" w:eastAsia="Calibri" w:hAnsi="Calibri" w:cs="Times New Roman"/>
    </w:rPr>
  </w:style>
  <w:style w:type="character" w:customStyle="1" w:styleId="ListParagraphChar">
    <w:name w:val="List Paragraph Char"/>
    <w:aliases w:val="lp1 Char,Heading x1 Char,Lettre d'introduction Char,1st level - Bullet List Paragraph Char,Paragrafo elenco Char,body 2 Char,List Paragraph11 Char,Lista 1 Char,lp11 Char,Liste 1 Char,Use Case List Paragraph Char,Bullet List Char"/>
    <w:basedOn w:val="DefaultParagraphFont"/>
    <w:link w:val="ListParagraph"/>
    <w:uiPriority w:val="34"/>
    <w:rsid w:val="00376BCF"/>
    <w:rPr>
      <w:rFonts w:ascii="Times New Roman" w:eastAsia="Calibri" w:hAnsi="Times New Roman" w:cs="Times New Roman"/>
      <w:sz w:val="24"/>
      <w:szCs w:val="24"/>
      <w:lang w:val="ro-RO"/>
    </w:rPr>
  </w:style>
  <w:style w:type="paragraph" w:customStyle="1" w:styleId="FootnoteReferenceArial">
    <w:name w:val="Footnote Reference Arial"/>
    <w:aliases w:val="Footnote Reference Arial1,Footnote Reference Arial2,Footnote Reference Arial11,Footnote Reference Arial3,Footnote Reference Arial12,Footnote Reference Arial4,Footnote Reference Arial13,SUPERS,SUPERS Char,Re"/>
    <w:basedOn w:val="Normal"/>
    <w:next w:val="Normal"/>
    <w:link w:val="FootnoteReference"/>
    <w:uiPriority w:val="99"/>
    <w:rsid w:val="00E5174C"/>
    <w:pPr>
      <w:spacing w:after="160" w:line="240" w:lineRule="exact"/>
    </w:pPr>
    <w:rPr>
      <w:rFonts w:asciiTheme="minorHAnsi" w:eastAsiaTheme="minorHAnsi" w:hAnsiTheme="minorHAnsi" w:cstheme="minorBidi"/>
      <w:sz w:val="22"/>
      <w:szCs w:val="22"/>
      <w:vertAlign w:val="superscript"/>
      <w:lang w:val="en-US"/>
    </w:rPr>
  </w:style>
  <w:style w:type="character" w:customStyle="1" w:styleId="UnresolvedMention1">
    <w:name w:val="Unresolved Mention1"/>
    <w:basedOn w:val="DefaultParagraphFont"/>
    <w:uiPriority w:val="99"/>
    <w:semiHidden/>
    <w:unhideWhenUsed/>
    <w:rsid w:val="00865B0A"/>
    <w:rPr>
      <w:color w:val="605E5C"/>
      <w:shd w:val="clear" w:color="auto" w:fill="E1DFDD"/>
    </w:rPr>
  </w:style>
  <w:style w:type="character" w:styleId="Emphasis">
    <w:name w:val="Emphasis"/>
    <w:uiPriority w:val="20"/>
    <w:qFormat/>
    <w:rsid w:val="002D3A01"/>
    <w:rPr>
      <w:i/>
      <w:iCs/>
    </w:rPr>
  </w:style>
  <w:style w:type="character" w:styleId="Strong">
    <w:name w:val="Strong"/>
    <w:uiPriority w:val="22"/>
    <w:qFormat/>
    <w:rsid w:val="002D3A01"/>
    <w:rPr>
      <w:rFonts w:ascii="Times New Roman" w:hAnsi="Times New Roman" w:cs="Times New Roman" w:hint="default"/>
      <w:b/>
      <w:bCs/>
    </w:rPr>
  </w:style>
  <w:style w:type="paragraph" w:styleId="NormalWeb">
    <w:name w:val="Normal (Web)"/>
    <w:basedOn w:val="Normal"/>
    <w:uiPriority w:val="99"/>
    <w:unhideWhenUsed/>
    <w:rsid w:val="002D3A01"/>
    <w:pPr>
      <w:spacing w:before="100" w:beforeAutospacing="1" w:after="100" w:afterAutospacing="1"/>
    </w:pPr>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712395">
      <w:bodyDiv w:val="1"/>
      <w:marLeft w:val="0"/>
      <w:marRight w:val="0"/>
      <w:marTop w:val="0"/>
      <w:marBottom w:val="0"/>
      <w:divBdr>
        <w:top w:val="none" w:sz="0" w:space="0" w:color="auto"/>
        <w:left w:val="none" w:sz="0" w:space="0" w:color="auto"/>
        <w:bottom w:val="none" w:sz="0" w:space="0" w:color="auto"/>
        <w:right w:val="none" w:sz="0" w:space="0" w:color="auto"/>
      </w:divBdr>
    </w:div>
    <w:div w:id="802816564">
      <w:bodyDiv w:val="1"/>
      <w:marLeft w:val="0"/>
      <w:marRight w:val="0"/>
      <w:marTop w:val="0"/>
      <w:marBottom w:val="0"/>
      <w:divBdr>
        <w:top w:val="none" w:sz="0" w:space="0" w:color="auto"/>
        <w:left w:val="none" w:sz="0" w:space="0" w:color="auto"/>
        <w:bottom w:val="none" w:sz="0" w:space="0" w:color="auto"/>
        <w:right w:val="none" w:sz="0" w:space="0" w:color="auto"/>
      </w:divBdr>
    </w:div>
    <w:div w:id="957875147">
      <w:bodyDiv w:val="1"/>
      <w:marLeft w:val="0"/>
      <w:marRight w:val="0"/>
      <w:marTop w:val="0"/>
      <w:marBottom w:val="0"/>
      <w:divBdr>
        <w:top w:val="none" w:sz="0" w:space="0" w:color="auto"/>
        <w:left w:val="none" w:sz="0" w:space="0" w:color="auto"/>
        <w:bottom w:val="none" w:sz="0" w:space="0" w:color="auto"/>
        <w:right w:val="none" w:sz="0" w:space="0" w:color="auto"/>
      </w:divBdr>
    </w:div>
    <w:div w:id="1087727276">
      <w:bodyDiv w:val="1"/>
      <w:marLeft w:val="0"/>
      <w:marRight w:val="0"/>
      <w:marTop w:val="0"/>
      <w:marBottom w:val="0"/>
      <w:divBdr>
        <w:top w:val="none" w:sz="0" w:space="0" w:color="auto"/>
        <w:left w:val="none" w:sz="0" w:space="0" w:color="auto"/>
        <w:bottom w:val="none" w:sz="0" w:space="0" w:color="auto"/>
        <w:right w:val="none" w:sz="0" w:space="0" w:color="auto"/>
      </w:divBdr>
    </w:div>
    <w:div w:id="1616446964">
      <w:bodyDiv w:val="1"/>
      <w:marLeft w:val="0"/>
      <w:marRight w:val="0"/>
      <w:marTop w:val="0"/>
      <w:marBottom w:val="0"/>
      <w:divBdr>
        <w:top w:val="none" w:sz="0" w:space="0" w:color="auto"/>
        <w:left w:val="none" w:sz="0" w:space="0" w:color="auto"/>
        <w:bottom w:val="none" w:sz="0" w:space="0" w:color="auto"/>
        <w:right w:val="none" w:sz="0" w:space="0" w:color="auto"/>
      </w:divBdr>
    </w:div>
    <w:div w:id="1799838305">
      <w:bodyDiv w:val="1"/>
      <w:marLeft w:val="0"/>
      <w:marRight w:val="0"/>
      <w:marTop w:val="0"/>
      <w:marBottom w:val="0"/>
      <w:divBdr>
        <w:top w:val="none" w:sz="0" w:space="0" w:color="auto"/>
        <w:left w:val="none" w:sz="0" w:space="0" w:color="auto"/>
        <w:bottom w:val="none" w:sz="0" w:space="0" w:color="auto"/>
        <w:right w:val="none" w:sz="0" w:space="0" w:color="auto"/>
      </w:divBdr>
    </w:div>
    <w:div w:id="191616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86AF-5D50-4A61-B75D-CAE040AB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10097</Characters>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2019-08-13T09:14:00Z</cp:lastPrinted>
  <dcterms:created xsi:type="dcterms:W3CDTF">2019-08-22T12:12:00Z</dcterms:created>
  <dcterms:modified xsi:type="dcterms:W3CDTF">2019-08-22T12:12:00Z</dcterms:modified>
</cp:coreProperties>
</file>