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C9" w:rsidRDefault="00D74EC9" w:rsidP="00470DA7">
      <w:pPr>
        <w:pStyle w:val="NormalWeb"/>
        <w:jc w:val="center"/>
        <w:rPr>
          <w:b/>
          <w:szCs w:val="22"/>
          <w:lang w:val="ro-RO"/>
        </w:rPr>
      </w:pPr>
    </w:p>
    <w:p w:rsidR="00D74EC9" w:rsidRPr="00470DA7" w:rsidRDefault="00470DA7" w:rsidP="00470DA7">
      <w:pPr>
        <w:pStyle w:val="NormalWeb"/>
        <w:jc w:val="center"/>
        <w:rPr>
          <w:b/>
          <w:szCs w:val="22"/>
          <w:lang w:val="ro-RO"/>
        </w:rPr>
      </w:pPr>
      <w:r w:rsidRPr="00470DA7">
        <w:rPr>
          <w:b/>
          <w:szCs w:val="22"/>
          <w:lang w:val="ro-RO"/>
        </w:rPr>
        <w:t>ANEXA 1</w:t>
      </w:r>
    </w:p>
    <w:p w:rsidR="00470DA7" w:rsidRPr="00470DA7" w:rsidRDefault="00470DA7" w:rsidP="00470DA7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b/>
          <w:bCs/>
          <w:szCs w:val="24"/>
          <w:lang w:val="es-ES" w:eastAsia="en-GB"/>
        </w:rPr>
      </w:pPr>
      <w:r w:rsidRPr="00470DA7">
        <w:rPr>
          <w:rFonts w:ascii="Verdana" w:eastAsia="Times New Roman" w:hAnsi="Verdana" w:cs="Times New Roman"/>
          <w:b/>
          <w:bCs/>
          <w:szCs w:val="24"/>
          <w:lang w:val="es-ES" w:eastAsia="en-GB"/>
        </w:rPr>
        <w:t>OPERATOR CALCULATOR - EUROPARLAMENTARE 2019</w:t>
      </w:r>
    </w:p>
    <w:p w:rsidR="00575594" w:rsidRDefault="00575594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</w:pPr>
    </w:p>
    <w:p w:rsidR="00470DA7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  <w:t>1</w:t>
      </w:r>
      <w:r w:rsidR="00470DA7" w:rsidRPr="00470DA7"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  <w:t>. Pe o scară de 1 la 10, 1 fiind cea mai mică nota și 10 cea mai</w:t>
      </w:r>
      <w:r w:rsidR="00785F6F"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  <w:t xml:space="preserve"> mare, c</w:t>
      </w:r>
      <w:r w:rsidR="00470DA7" w:rsidRPr="00470DA7"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  <w:t>um evaluați modul de organizare a procesului electoral din perspectiva dumneavoastră?</w:t>
      </w:r>
    </w:p>
    <w:p w:rsidR="00703723" w:rsidRPr="00470DA7" w:rsidRDefault="00703723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10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2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46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44.8% (5,841)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9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4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86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27.5% (3,587)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8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8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60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16.2% (2,113)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7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33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5.4% (705)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6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2.5% (324)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8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1.4% (180)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0.7% (93)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0.5% (64)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0.3% (40)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0.6% (77)</w:t>
            </w:r>
          </w:p>
        </w:tc>
      </w:tr>
    </w:tbl>
    <w:p w:rsidR="00575594" w:rsidRDefault="00575594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p w:rsidR="00470DA7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2</w:t>
      </w:r>
      <w:r w:rsidR="00470DA7" w:rsidRPr="00470DA7"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. Considerați că ați fost repartizat la o distanță mai mare decât cea stipulată de dumneavoastră?</w:t>
      </w:r>
    </w:p>
    <w:p w:rsidR="00703723" w:rsidRPr="00470DA7" w:rsidRDefault="00703723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6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2.1% (278)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9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802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97.9% (12,745)</w:t>
            </w:r>
          </w:p>
        </w:tc>
      </w:tr>
    </w:tbl>
    <w:p w:rsidR="00575594" w:rsidRDefault="00575594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val="fr-FR" w:eastAsia="en-GB"/>
        </w:rPr>
      </w:pPr>
    </w:p>
    <w:p w:rsidR="00470DA7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val="fr-FR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1"/>
          <w:lang w:val="fr-FR" w:eastAsia="en-GB"/>
        </w:rPr>
        <w:t>3</w:t>
      </w:r>
      <w:r w:rsidR="00470DA7" w:rsidRPr="00470DA7">
        <w:rPr>
          <w:rFonts w:ascii="Verdana" w:eastAsia="Times New Roman" w:hAnsi="Verdana" w:cs="Times New Roman"/>
          <w:b/>
          <w:bCs/>
          <w:sz w:val="20"/>
          <w:szCs w:val="21"/>
          <w:lang w:val="fr-FR" w:eastAsia="en-GB"/>
        </w:rPr>
        <w:t>. Pe o scară de 1 la 10, 1 fiind cea mai</w:t>
      </w:r>
      <w:r w:rsidR="00785F6F">
        <w:rPr>
          <w:rFonts w:ascii="Verdana" w:eastAsia="Times New Roman" w:hAnsi="Verdana" w:cs="Times New Roman"/>
          <w:b/>
          <w:bCs/>
          <w:sz w:val="20"/>
          <w:szCs w:val="21"/>
          <w:lang w:val="fr-FR" w:eastAsia="en-GB"/>
        </w:rPr>
        <w:t xml:space="preserve"> mică nota și 10 cea mai mare, c</w:t>
      </w:r>
      <w:r w:rsidR="00470DA7" w:rsidRPr="00470DA7">
        <w:rPr>
          <w:rFonts w:ascii="Verdana" w:eastAsia="Times New Roman" w:hAnsi="Verdana" w:cs="Times New Roman"/>
          <w:b/>
          <w:bCs/>
          <w:sz w:val="20"/>
          <w:szCs w:val="21"/>
          <w:lang w:val="fr-FR" w:eastAsia="en-GB"/>
        </w:rPr>
        <w:t>um evaluați instruirea?</w:t>
      </w:r>
    </w:p>
    <w:p w:rsidR="00703723" w:rsidRPr="00470DA7" w:rsidRDefault="00703723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val="fr-FR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10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5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7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70.8% (9,262)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9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76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19.9% (2,604)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8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72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6.1% (804)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7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8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1.6% (205)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0.7% (94)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0.4% (53)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0.2% (20)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0.1% (13)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0.1% (8)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0.2% (23)</w:t>
            </w:r>
          </w:p>
        </w:tc>
      </w:tr>
    </w:tbl>
    <w:p w:rsidR="00575594" w:rsidRDefault="00575594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p w:rsidR="00470DA7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4</w:t>
      </w:r>
      <w:r w:rsidR="00470DA7" w:rsidRPr="00470DA7"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. Ați avut probleme cu funcționarea tabletei?</w:t>
      </w:r>
    </w:p>
    <w:p w:rsidR="00703723" w:rsidRPr="00470DA7" w:rsidRDefault="00703723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4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414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87.3% (11,418)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6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04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12.7% (1,668)</w:t>
            </w:r>
          </w:p>
        </w:tc>
      </w:tr>
    </w:tbl>
    <w:p w:rsidR="00575594" w:rsidRDefault="00575594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p w:rsidR="00470DA7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5</w:t>
      </w:r>
      <w:r w:rsidR="00470DA7" w:rsidRPr="00470DA7"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. Pe o scară de 1 la 10, 1 fiind cea mai</w:t>
      </w:r>
      <w:r w:rsidR="00785F6F"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 xml:space="preserve"> mică nota și 10 cea mai mare, c</w:t>
      </w:r>
      <w:r w:rsidR="00470DA7" w:rsidRPr="00470DA7"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um evaluați funcționarea aplicației?</w:t>
      </w:r>
    </w:p>
    <w:p w:rsidR="00703723" w:rsidRPr="00470DA7" w:rsidRDefault="00703723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0.3% (34)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0.1% (11)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0.1% (17)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0.3% (35)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0.5% (69)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0.9% (113)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7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6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2.6% (337)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8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49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8.6% (1,129)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9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2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0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24.0% (3,144)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10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1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444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62.6% (8,197)</w:t>
            </w:r>
          </w:p>
        </w:tc>
      </w:tr>
    </w:tbl>
    <w:p w:rsidR="00575594" w:rsidRDefault="00575594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p w:rsidR="00575594" w:rsidRDefault="00575594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p w:rsidR="00470DA7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6</w:t>
      </w:r>
      <w:r w:rsidR="00470DA7" w:rsidRPr="00470DA7"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. Ați avut probleme cu conexiunea la internet?</w:t>
      </w:r>
    </w:p>
    <w:p w:rsidR="00703723" w:rsidRPr="00470DA7" w:rsidRDefault="00703723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4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414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87.0% (11,388)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6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04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13.0% (1,698)</w:t>
            </w:r>
          </w:p>
        </w:tc>
      </w:tr>
    </w:tbl>
    <w:p w:rsidR="00575594" w:rsidRDefault="00575594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p w:rsidR="00470DA7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7</w:t>
      </w:r>
      <w:r w:rsidR="00470DA7" w:rsidRPr="00470DA7"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. Ați avut probleme cu scanarea documentelor de identitate?</w:t>
      </w:r>
    </w:p>
    <w:p w:rsidR="00703723" w:rsidRPr="00470DA7" w:rsidRDefault="00703723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9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06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78.7% (10,278)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1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54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21.3% (2,775)</w:t>
            </w:r>
          </w:p>
        </w:tc>
      </w:tr>
    </w:tbl>
    <w:p w:rsidR="00575594" w:rsidRDefault="00575594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</w:pPr>
    </w:p>
    <w:p w:rsidR="00470DA7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  <w:t>8</w:t>
      </w:r>
      <w:r w:rsidR="00470DA7" w:rsidRPr="00470DA7"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  <w:t>. Cum evaluați cooperarea cu președintele și locțiitorul BESV?</w:t>
      </w:r>
    </w:p>
    <w:p w:rsidR="00703723" w:rsidRPr="00470DA7" w:rsidRDefault="00703723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Foarte bună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9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77.3% (10,076)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Bună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9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98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17.8% (2,317)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Medie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6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2.9% (383)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Slabă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1.0% (124)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Foarte slabă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8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1.1% (137)</w:t>
            </w:r>
          </w:p>
        </w:tc>
      </w:tr>
    </w:tbl>
    <w:p w:rsidR="00575594" w:rsidRDefault="00575594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p w:rsidR="00575594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9</w:t>
      </w:r>
      <w:r w:rsidR="00470DA7" w:rsidRPr="00470DA7"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. Cum evaluați cooperarea reprezentanților partidelor în BESV?</w:t>
      </w:r>
    </w:p>
    <w:p w:rsidR="00703723" w:rsidRPr="00470DA7" w:rsidRDefault="00703723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Foarte slabă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0.7% (93)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Slabă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8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1.6% (213)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Medie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10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7.5% (978)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Bună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8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36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36.9% (4,809)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Foarte bună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7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09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53.3% (6,942)</w:t>
            </w:r>
          </w:p>
        </w:tc>
      </w:tr>
    </w:tbl>
    <w:p w:rsidR="00575594" w:rsidRDefault="00575594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val="fr-FR" w:eastAsia="en-GB"/>
        </w:rPr>
      </w:pPr>
    </w:p>
    <w:p w:rsidR="00575594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val="fr-FR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1"/>
          <w:lang w:val="fr-FR" w:eastAsia="en-GB"/>
        </w:rPr>
        <w:t>10</w:t>
      </w:r>
      <w:r w:rsidR="00470DA7" w:rsidRPr="00470DA7">
        <w:rPr>
          <w:rFonts w:ascii="Verdana" w:eastAsia="Times New Roman" w:hAnsi="Verdana" w:cs="Times New Roman"/>
          <w:b/>
          <w:bCs/>
          <w:sz w:val="20"/>
          <w:szCs w:val="21"/>
          <w:lang w:val="fr-FR" w:eastAsia="en-GB"/>
        </w:rPr>
        <w:t>. Au existat persoane care prin acțiunile lor v-au îngreunat activitatea făcând presiuni nejustificate asupra dumneavoastră?</w:t>
      </w:r>
    </w:p>
    <w:p w:rsidR="00703723" w:rsidRPr="00470DA7" w:rsidRDefault="00703723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val="fr-FR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6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608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92.7% (12,123)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10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7.3% (951)</w:t>
            </w:r>
          </w:p>
        </w:tc>
      </w:tr>
    </w:tbl>
    <w:p w:rsidR="00575594" w:rsidRDefault="00575594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p w:rsidR="00575594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lastRenderedPageBreak/>
        <w:t>11</w:t>
      </w:r>
      <w:r w:rsidR="00470DA7" w:rsidRPr="00470DA7"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. Dacă răspunsul la întrebarea precedentă este DA, specificați calitatea persoanei/lor care v-a/au îngreunat activitatea și menționați organizația de proveniență a acestora (denumirea competitorului politic, trustului media, etc.)</w:t>
      </w:r>
    </w:p>
    <w:p w:rsidR="00703723" w:rsidRPr="00470DA7" w:rsidRDefault="00703723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Președintele sau locțiitorul BESV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8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1.3% (176)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Reprezentanții partidelor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3.4% (468)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Observatori interni sau externi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0.6% (80)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val="fr-FR" w:eastAsia="en-GB"/>
              </w:rPr>
              <w:t>Reprezentanți interni sau externi ai mass-mediei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val="fr-FR"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val="fr-FR"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0.1% (16)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Delegații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0.2% (33)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Nu este cazul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5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492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89.0% (12,103)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6A29D1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hyperlink r:id="rId7" w:tooltip="Viewing Other" w:history="1">
              <w:r w:rsidR="00470DA7" w:rsidRPr="00470DA7">
                <w:rPr>
                  <w:rFonts w:ascii="Times New Roman" w:eastAsia="Times New Roman" w:hAnsi="Times New Roman" w:cs="Times New Roman"/>
                  <w:szCs w:val="24"/>
                  <w:lang w:eastAsia="en-GB"/>
                </w:rPr>
                <w:t>Alte</w:t>
              </w:r>
            </w:hyperlink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33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5.3% (716)</w:t>
            </w:r>
          </w:p>
        </w:tc>
      </w:tr>
    </w:tbl>
    <w:p w:rsidR="00575594" w:rsidRDefault="00575594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</w:pPr>
    </w:p>
    <w:p w:rsidR="00470DA7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  <w:t>12</w:t>
      </w:r>
      <w:r w:rsidR="00470DA7" w:rsidRPr="00470DA7"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  <w:t>. Ați întâmpinat probleme la predarea tabletelor?</w:t>
      </w:r>
    </w:p>
    <w:p w:rsidR="00703723" w:rsidRPr="00470DA7" w:rsidRDefault="00703723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6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570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91.9% (12,025)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49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8.1% (1,061)</w:t>
            </w:r>
          </w:p>
        </w:tc>
      </w:tr>
    </w:tbl>
    <w:p w:rsidR="00575594" w:rsidRDefault="00575594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p w:rsidR="00470DA7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13</w:t>
      </w:r>
      <w:r w:rsidR="00470DA7" w:rsidRPr="00470DA7"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. Ați întâmpinat probleme în primirea unei zile libere în ziua următoare alegerilor?</w:t>
      </w:r>
    </w:p>
    <w:p w:rsidR="00703723" w:rsidRPr="00470DA7" w:rsidRDefault="00703723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49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8.6% (1,124)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6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570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91.4% (11,962)</w:t>
            </w:r>
          </w:p>
        </w:tc>
      </w:tr>
    </w:tbl>
    <w:p w:rsidR="00575594" w:rsidRDefault="00575594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p w:rsidR="00470DA7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14</w:t>
      </w:r>
      <w:r w:rsidR="00470DA7" w:rsidRPr="00470DA7"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. Ați întâmpinat probleme la primirea indemnizației?</w:t>
      </w:r>
    </w:p>
    <w:p w:rsidR="00703723" w:rsidRPr="00470DA7" w:rsidRDefault="00703723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3.4% (448)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8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764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96.6% (12,618)</w:t>
            </w:r>
          </w:p>
        </w:tc>
      </w:tr>
    </w:tbl>
    <w:p w:rsidR="00470DA7" w:rsidRDefault="00470DA7" w:rsidP="00470DA7">
      <w:pPr>
        <w:pStyle w:val="NormalWeb"/>
        <w:jc w:val="center"/>
        <w:rPr>
          <w:b/>
          <w:sz w:val="20"/>
          <w:szCs w:val="22"/>
          <w:lang w:val="ro-RO"/>
        </w:rPr>
      </w:pPr>
    </w:p>
    <w:p w:rsidR="00470DA7" w:rsidRDefault="00D74EC9" w:rsidP="00470DA7">
      <w:pPr>
        <w:pStyle w:val="NormalWeb"/>
        <w:jc w:val="center"/>
        <w:rPr>
          <w:b/>
          <w:sz w:val="20"/>
          <w:szCs w:val="22"/>
          <w:lang w:val="ro-RO"/>
        </w:rPr>
      </w:pPr>
      <w:r w:rsidRPr="00D74EC9">
        <w:rPr>
          <w:b/>
          <w:sz w:val="20"/>
          <w:szCs w:val="22"/>
          <w:lang w:val="ro-RO"/>
        </w:rPr>
        <w:lastRenderedPageBreak/>
        <w:drawing>
          <wp:inline distT="0" distB="0" distL="0" distR="0">
            <wp:extent cx="6286500" cy="7162800"/>
            <wp:effectExtent l="19050" t="0" r="19050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4ACC" w:rsidRDefault="00BC4ACC" w:rsidP="00470DA7">
      <w:pPr>
        <w:pStyle w:val="NormalWeb"/>
        <w:jc w:val="center"/>
        <w:rPr>
          <w:b/>
          <w:sz w:val="20"/>
          <w:szCs w:val="22"/>
          <w:lang w:val="ro-RO"/>
        </w:rPr>
      </w:pPr>
    </w:p>
    <w:p w:rsidR="00D74EC9" w:rsidRDefault="00D74EC9" w:rsidP="00470DA7">
      <w:pPr>
        <w:pStyle w:val="NormalWeb"/>
        <w:jc w:val="center"/>
        <w:rPr>
          <w:b/>
          <w:szCs w:val="22"/>
          <w:lang w:val="ro-RO"/>
        </w:rPr>
      </w:pPr>
    </w:p>
    <w:p w:rsidR="00D74EC9" w:rsidRDefault="00D74EC9" w:rsidP="00470DA7">
      <w:pPr>
        <w:pStyle w:val="NormalWeb"/>
        <w:jc w:val="center"/>
        <w:rPr>
          <w:b/>
          <w:szCs w:val="22"/>
          <w:lang w:val="ro-RO"/>
        </w:rPr>
      </w:pPr>
    </w:p>
    <w:p w:rsidR="00470DA7" w:rsidRPr="00470DA7" w:rsidRDefault="00470DA7" w:rsidP="00470DA7">
      <w:pPr>
        <w:pStyle w:val="NormalWeb"/>
        <w:jc w:val="center"/>
        <w:rPr>
          <w:b/>
          <w:szCs w:val="22"/>
          <w:lang w:val="ro-RO"/>
        </w:rPr>
      </w:pPr>
      <w:r w:rsidRPr="00470DA7">
        <w:rPr>
          <w:b/>
          <w:szCs w:val="22"/>
          <w:lang w:val="ro-RO"/>
        </w:rPr>
        <w:t>ANEXA 2</w:t>
      </w:r>
    </w:p>
    <w:p w:rsidR="00470DA7" w:rsidRPr="00470DA7" w:rsidRDefault="00470DA7" w:rsidP="00470DA7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b/>
          <w:bCs/>
          <w:szCs w:val="24"/>
          <w:lang w:eastAsia="en-GB"/>
        </w:rPr>
      </w:pPr>
      <w:r w:rsidRPr="00470DA7">
        <w:rPr>
          <w:rFonts w:ascii="Verdana" w:eastAsia="Times New Roman" w:hAnsi="Verdana" w:cs="Times New Roman"/>
          <w:b/>
          <w:bCs/>
          <w:szCs w:val="24"/>
          <w:lang w:eastAsia="en-GB"/>
        </w:rPr>
        <w:t>EXPERT ELECTORAL - EUROPARLAMENTARE 2019</w:t>
      </w:r>
    </w:p>
    <w:p w:rsidR="00D74EC9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p w:rsidR="00470DA7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1</w:t>
      </w:r>
      <w:r w:rsidR="00470DA7" w:rsidRPr="00470DA7"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. La alegerile din 26 mai 2019 ați fost desemnat ca:</w:t>
      </w:r>
    </w:p>
    <w:p w:rsidR="00703723" w:rsidRPr="00470DA7" w:rsidRDefault="00703723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tbl>
      <w:tblPr>
        <w:tblW w:w="5030" w:type="pct"/>
        <w:tblCellMar>
          <w:left w:w="0" w:type="dxa"/>
          <w:right w:w="0" w:type="dxa"/>
        </w:tblCellMar>
        <w:tblLook w:val="04A0"/>
      </w:tblPr>
      <w:tblGrid>
        <w:gridCol w:w="3888"/>
        <w:gridCol w:w="3903"/>
        <w:gridCol w:w="2241"/>
      </w:tblGrid>
      <w:tr w:rsidR="00470DA7" w:rsidRPr="00470DA7" w:rsidTr="00703723">
        <w:trPr>
          <w:trHeight w:val="355"/>
        </w:trPr>
        <w:tc>
          <w:tcPr>
            <w:tcW w:w="3887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Locțiitor</w:t>
            </w:r>
          </w:p>
        </w:tc>
        <w:tc>
          <w:tcPr>
            <w:tcW w:w="3903" w:type="dxa"/>
            <w:shd w:val="clear" w:color="auto" w:fill="auto"/>
            <w:hideMark/>
          </w:tcPr>
          <w:tbl>
            <w:tblPr>
              <w:tblW w:w="2449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12"/>
            </w:tblGrid>
            <w:tr w:rsidR="00470DA7" w:rsidRPr="00470DA7" w:rsidTr="00703723">
              <w:trPr>
                <w:trHeight w:val="334"/>
              </w:trPr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48.9% (12,018)</w:t>
            </w:r>
          </w:p>
        </w:tc>
      </w:tr>
      <w:tr w:rsidR="00470DA7" w:rsidRPr="00470DA7" w:rsidTr="00703723">
        <w:trPr>
          <w:trHeight w:val="355"/>
        </w:trPr>
        <w:tc>
          <w:tcPr>
            <w:tcW w:w="3887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Președinte</w:t>
            </w:r>
          </w:p>
        </w:tc>
        <w:tc>
          <w:tcPr>
            <w:tcW w:w="3903" w:type="dxa"/>
            <w:shd w:val="clear" w:color="auto" w:fill="auto"/>
            <w:hideMark/>
          </w:tcPr>
          <w:tbl>
            <w:tblPr>
              <w:tblW w:w="2601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030"/>
            </w:tblGrid>
            <w:tr w:rsidR="00470DA7" w:rsidRPr="00470DA7" w:rsidTr="00703723">
              <w:trPr>
                <w:trHeight w:val="334"/>
              </w:trPr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51.1% (12,547)</w:t>
            </w:r>
          </w:p>
        </w:tc>
      </w:tr>
    </w:tbl>
    <w:p w:rsidR="00D74EC9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p w:rsidR="00470DA7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2</w:t>
      </w:r>
      <w:r w:rsidR="00470DA7" w:rsidRPr="00470DA7"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. Pe o scară de 1 la 10, 1 fiind cea mai mică notă și 10 cea mai mare, vă rugăm să evaluați instruirea preşedinţilor birourilor electorale ale secţiilor de votare și a locțiitorilor acestora din perspectiva dumneavoastră</w:t>
      </w:r>
      <w:r w:rsidR="004A3D35"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.</w:t>
      </w:r>
    </w:p>
    <w:p w:rsidR="00703723" w:rsidRPr="00470DA7" w:rsidRDefault="00703723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10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7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134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54.8% (13,344)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9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3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48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26.7% (6,491)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8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6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66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11.5% (2,796)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7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3.2% (789)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8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1.4% (347)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1.0% (238)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0.4% (107)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0.2% (53)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0.2% (56)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0.5% (110)</w:t>
            </w:r>
          </w:p>
        </w:tc>
      </w:tr>
    </w:tbl>
    <w:p w:rsidR="00D74EC9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p w:rsidR="00470DA7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3</w:t>
      </w:r>
      <w:r w:rsidR="00470DA7" w:rsidRPr="00470DA7"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. În ce măsură materialele de informare puse la dispoziție de AEP au fost utile pentru buna desfășurare a activității?</w:t>
      </w:r>
    </w:p>
    <w:p w:rsidR="00703723" w:rsidRPr="00470DA7" w:rsidRDefault="00703723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În foarte mică măsură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8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1.0% (251)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În mică măsură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8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1.6% (386)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În mare măsură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8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36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36.7% (9,011)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În foarte mare măsură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0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367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60.7% (14,917)</w:t>
            </w:r>
          </w:p>
        </w:tc>
      </w:tr>
    </w:tbl>
    <w:p w:rsidR="00D74EC9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</w:pPr>
    </w:p>
    <w:p w:rsidR="00470DA7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  <w:t>4</w:t>
      </w:r>
      <w:r w:rsidR="00470DA7" w:rsidRPr="00470DA7"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  <w:t>. În opinia dumneavoastră în ziua alegerilor:</w:t>
      </w:r>
    </w:p>
    <w:p w:rsidR="00703723" w:rsidRPr="00470DA7" w:rsidRDefault="00703723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Am întâmpinat probleme din cauza gestionării concomitente a două tipuri diferite de scrutine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10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7.4% (2,407)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Operatorul de calculator nu a făcut față numărului mare de alegători veniți la vot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6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2.6% (853)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val="fr-FR" w:eastAsia="en-GB"/>
              </w:rPr>
              <w:t>Am întâmpinat probleme din cauza numărului mare d</w:t>
            </w:r>
            <w:r w:rsidR="004A3D35">
              <w:rPr>
                <w:rFonts w:ascii="Times New Roman" w:eastAsia="Times New Roman" w:hAnsi="Times New Roman" w:cs="Times New Roman"/>
                <w:szCs w:val="24"/>
                <w:lang w:val="fr-FR" w:eastAsia="en-GB"/>
              </w:rPr>
              <w:t>e persoane care au solicitat urn</w:t>
            </w:r>
            <w:r w:rsidRPr="00470DA7">
              <w:rPr>
                <w:rFonts w:ascii="Times New Roman" w:eastAsia="Times New Roman" w:hAnsi="Times New Roman" w:cs="Times New Roman"/>
                <w:szCs w:val="24"/>
                <w:lang w:val="fr-FR" w:eastAsia="en-GB"/>
              </w:rPr>
              <w:t>a specială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val="fr-FR"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val="fr-FR"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0.9% (279)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Scanarea cărților de identitate s-a făcut cu dificultate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4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4.9% (1,596)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lastRenderedPageBreak/>
              <w:t>Am întâmpinat probleme din cauza înscrierii olografe a unui număr mare de alegători care au votat pe lista suplimentară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27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10.1% (3,294)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Procesul electoral a decurs in mod normal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6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018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51.2% (16,744)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ES"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val="es-ES" w:eastAsia="en-GB"/>
              </w:rPr>
              <w:t>Procesul electoral a fost îngreunat de desfășurarea alegerilor Europarlamentare în același timp cu referendumul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1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54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val="es-ES"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val="es-ES"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ES"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21.1% (6,905)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6A29D1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hyperlink r:id="rId9" w:tooltip="Viewing Other" w:history="1">
              <w:r w:rsidR="00470DA7" w:rsidRPr="00470DA7">
                <w:rPr>
                  <w:rFonts w:ascii="Times New Roman" w:eastAsia="Times New Roman" w:hAnsi="Times New Roman" w:cs="Times New Roman"/>
                  <w:szCs w:val="24"/>
                  <w:lang w:eastAsia="en-GB"/>
                </w:rPr>
                <w:t>Alte</w:t>
              </w:r>
            </w:hyperlink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8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2.0% (648)</w:t>
            </w:r>
          </w:p>
        </w:tc>
      </w:tr>
    </w:tbl>
    <w:p w:rsidR="00D74EC9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p w:rsidR="00470DA7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5</w:t>
      </w:r>
      <w:r w:rsidR="00470DA7" w:rsidRPr="00470DA7"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. Cum evaluați cooperarea cu locțiitorul/președintele BESV?</w:t>
      </w:r>
    </w:p>
    <w:p w:rsidR="00703723" w:rsidRPr="00470DA7" w:rsidRDefault="00703723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Foarte slabă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0.9% (220)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Slabă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8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1.8% (437)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Normală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4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4.8% (1,172)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Bună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7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43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13.3% (3,256)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Foarte bună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104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79.3% (19,480)</w:t>
            </w:r>
          </w:p>
        </w:tc>
      </w:tr>
    </w:tbl>
    <w:p w:rsidR="00D74EC9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</w:pPr>
    </w:p>
    <w:p w:rsidR="00470DA7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  <w:t>6</w:t>
      </w:r>
      <w:r w:rsidR="00470DA7" w:rsidRPr="00470DA7"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  <w:t>. Cum evaluați cooperarea cu operatorul de calculator BESV?</w:t>
      </w:r>
    </w:p>
    <w:p w:rsidR="00703723" w:rsidRPr="00470DA7" w:rsidRDefault="00703723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Foarte slabă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0.3% (64)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Slabă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0.9% (228)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Normală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3.6% (889)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Bună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6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04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12.5% (3,079)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Foarte bună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1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20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82.7% (20,305)</w:t>
            </w:r>
          </w:p>
        </w:tc>
      </w:tr>
    </w:tbl>
    <w:p w:rsidR="00D74EC9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</w:pPr>
    </w:p>
    <w:p w:rsidR="00470DA7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  <w:t>7</w:t>
      </w:r>
      <w:r w:rsidR="00470DA7" w:rsidRPr="00470DA7"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  <w:t>. Cum evaluați cooperarea cu reprezentanții partidelor în BESV?</w:t>
      </w:r>
    </w:p>
    <w:p w:rsidR="00703723" w:rsidRPr="00470DA7" w:rsidRDefault="00703723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Foarte slabă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0.6% (141)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Slabă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6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2.1% (524)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Normală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7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2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14.1% (3,457)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Bună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5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64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29.2% (7,163)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Foarte bună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7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134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54.1% (13,280)</w:t>
            </w:r>
          </w:p>
        </w:tc>
      </w:tr>
    </w:tbl>
    <w:p w:rsidR="00D74EC9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</w:pPr>
    </w:p>
    <w:p w:rsidR="00470DA7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  <w:t>8</w:t>
      </w:r>
      <w:r w:rsidR="00470DA7" w:rsidRPr="00470DA7"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  <w:t>. Cum evaluați întocmirea procesului-verbal de constatare a rezultatelor votării?</w:t>
      </w:r>
    </w:p>
    <w:p w:rsidR="00703723" w:rsidRPr="00470DA7" w:rsidRDefault="00703723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val="es-ES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Foarte ușoară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9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98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17.5% (4,293)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Ușoară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9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98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17.9% (4,394)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Normală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8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173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55.1% (13,538)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Dificilă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4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4.3% (1,063)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Foarte dificilă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33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5.2% (1,277)</w:t>
            </w:r>
          </w:p>
        </w:tc>
      </w:tr>
    </w:tbl>
    <w:p w:rsidR="00D74EC9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val="fr-FR" w:eastAsia="en-GB"/>
        </w:rPr>
      </w:pPr>
    </w:p>
    <w:p w:rsidR="00470DA7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val="fr-FR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1"/>
          <w:lang w:val="fr-FR" w:eastAsia="en-GB"/>
        </w:rPr>
        <w:t>9</w:t>
      </w:r>
      <w:r w:rsidR="00470DA7" w:rsidRPr="00470DA7">
        <w:rPr>
          <w:rFonts w:ascii="Verdana" w:eastAsia="Times New Roman" w:hAnsi="Verdana" w:cs="Times New Roman"/>
          <w:b/>
          <w:bCs/>
          <w:sz w:val="20"/>
          <w:szCs w:val="21"/>
          <w:lang w:val="fr-FR" w:eastAsia="en-GB"/>
        </w:rPr>
        <w:t>. Au existat persoane care prin acțiunile lor v-au îngreunat activitatea făcând presiuni nejustificate asupra dumneavoastră?</w:t>
      </w:r>
    </w:p>
    <w:p w:rsidR="00703723" w:rsidRPr="00470DA7" w:rsidRDefault="00703723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val="fr-FR"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7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647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93.3% (22,923)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72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6.7% (1,642)</w:t>
            </w:r>
          </w:p>
        </w:tc>
      </w:tr>
    </w:tbl>
    <w:p w:rsidR="00D74EC9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p w:rsidR="00470DA7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lastRenderedPageBreak/>
        <w:t>10</w:t>
      </w:r>
      <w:r w:rsidR="00470DA7" w:rsidRPr="00470DA7"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. Dacă răspunsul la întrebarea precedentă este DA, specificați calitatea persoanei/lor care v-a/au îngreunat activitatea și menționați organizația de proveniență a acestora (denumirea competitorului politic, trustului media, etc.)</w:t>
      </w:r>
      <w:r w:rsidR="004A3D35"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.</w:t>
      </w:r>
    </w:p>
    <w:p w:rsidR="00703723" w:rsidRPr="00470DA7" w:rsidRDefault="00703723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Delegații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0.3% (39)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Alegătorii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33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5.0% (595)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Nu este cazul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0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143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80.0% (9,432)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val="fr-FR" w:eastAsia="en-GB"/>
              </w:rPr>
              <w:t>Reprezentanți interni sau externi ai mass-mediei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val="fr-FR"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val="fr-FR"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0.2% (23)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Observatori interni sau externi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0.9% (101)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Reprezentanții partidelor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10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7.2% (850)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Operatorul de Calculator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0.9% (101)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Locțiitorul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0.9% (108)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Președintele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1.0% (115)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6A29D1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hyperlink r:id="rId10" w:tooltip="Viewing Other" w:history="1">
              <w:r w:rsidR="00470DA7" w:rsidRPr="00470DA7">
                <w:rPr>
                  <w:rFonts w:ascii="Times New Roman" w:eastAsia="Times New Roman" w:hAnsi="Times New Roman" w:cs="Times New Roman"/>
                  <w:szCs w:val="24"/>
                  <w:lang w:eastAsia="en-GB"/>
                </w:rPr>
                <w:t>Alte</w:t>
              </w:r>
            </w:hyperlink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3.6% (421)</w:t>
            </w:r>
          </w:p>
        </w:tc>
      </w:tr>
    </w:tbl>
    <w:p w:rsidR="00D74EC9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p w:rsidR="00470DA7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11</w:t>
      </w:r>
      <w:r w:rsidR="00470DA7" w:rsidRPr="00470DA7"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. Pe o scară de 1 la 10, 1 fiind cea mai mică nota și 10 cea mai mare, vă rugăm să notați modul de organizare a procesului electoral până în momentul finalizării operațiunilor din secțiile de votare din perspectiva dumneavoastră</w:t>
      </w:r>
      <w:r w:rsidR="004A3D35"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.</w:t>
      </w:r>
    </w:p>
    <w:p w:rsidR="00703723" w:rsidRPr="00470DA7" w:rsidRDefault="00703723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10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5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40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49.0% (12,038)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9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6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80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32.3% (7,934)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8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6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66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11.9% (2,924)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7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3.2% (795)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8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1.4% (338)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0.8% (189)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0.4% (102)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0.2% (61)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0.2% (54)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0.5% (130)</w:t>
            </w:r>
          </w:p>
        </w:tc>
      </w:tr>
    </w:tbl>
    <w:p w:rsidR="00D74EC9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p w:rsidR="00470DA7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12</w:t>
      </w:r>
      <w:r w:rsidR="00470DA7" w:rsidRPr="00470DA7"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. Pe o scară de 1 la 10, 1 fiind cea mai mică nota și 10 cea mai mare, vă rugăm să evaluați cum a fost organizată predarea materialelor după votare de către birourile electorale judeţene și prefecturi?</w:t>
      </w:r>
    </w:p>
    <w:p w:rsidR="00703723" w:rsidRPr="00470DA7" w:rsidRDefault="00703723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10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2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0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24.7% (5,952)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9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9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98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17.7% (4,279)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8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7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43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13.3% (3,205)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7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49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8.0% (1,942)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10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7.2% (1,728)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10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7.1% (1,705)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4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4.6% (1,121)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3.8% (918)</w:t>
            </w:r>
          </w:p>
        </w:tc>
      </w:tr>
    </w:tbl>
    <w:p w:rsidR="00470DA7" w:rsidRPr="00470DA7" w:rsidRDefault="00470DA7" w:rsidP="00470DA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vanish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5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3.8% (917)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88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9.8% (2,377)</w:t>
            </w:r>
          </w:p>
        </w:tc>
      </w:tr>
    </w:tbl>
    <w:p w:rsidR="00D74EC9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p w:rsidR="004A3D35" w:rsidRPr="004A3D35" w:rsidRDefault="004A3D35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color w:val="FFFFFF" w:themeColor="background1"/>
          <w:sz w:val="20"/>
          <w:szCs w:val="21"/>
          <w:lang w:eastAsia="en-GB"/>
        </w:rPr>
      </w:pPr>
    </w:p>
    <w:p w:rsidR="004A3D35" w:rsidRDefault="004A3D35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p w:rsidR="004A3D35" w:rsidRDefault="004A3D35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p w:rsidR="00470DA7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13</w:t>
      </w:r>
      <w:r w:rsidR="00470DA7" w:rsidRPr="00470DA7"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. Ați întâmpinat probleme în primirea unei zile libere în ziua următoare alegerilor?</w:t>
      </w:r>
    </w:p>
    <w:p w:rsidR="00703723" w:rsidRPr="00470DA7" w:rsidRDefault="00703723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7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686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94.3% (23,163)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33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5.7% (1,402)</w:t>
            </w:r>
          </w:p>
        </w:tc>
      </w:tr>
    </w:tbl>
    <w:p w:rsidR="00D74EC9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p w:rsidR="00470DA7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14</w:t>
      </w:r>
      <w:r w:rsidR="00470DA7" w:rsidRPr="00470DA7"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. Ați întâmpinat probleme la primirea indemnizației?</w:t>
      </w:r>
    </w:p>
    <w:p w:rsidR="00703723" w:rsidRPr="00470DA7" w:rsidRDefault="00703723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8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1.0% (246)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841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99.0% (24,319)</w:t>
            </w:r>
          </w:p>
        </w:tc>
      </w:tr>
    </w:tbl>
    <w:p w:rsidR="00D74EC9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p w:rsidR="00470DA7" w:rsidRDefault="00D74EC9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15</w:t>
      </w:r>
      <w:r w:rsidR="00470DA7" w:rsidRPr="00470DA7"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  <w:t>. Veți participa la viitoarele procese electorale dacă veți fi desemnat ca președinte sau locțiitor?</w:t>
      </w:r>
    </w:p>
    <w:p w:rsidR="00703723" w:rsidRPr="00470DA7" w:rsidRDefault="00703723" w:rsidP="00470DA7">
      <w:pPr>
        <w:shd w:val="clear" w:color="auto" w:fill="EDEDED"/>
        <w:spacing w:after="30" w:line="240" w:lineRule="auto"/>
        <w:rPr>
          <w:rFonts w:ascii="Verdana" w:eastAsia="Times New Roman" w:hAnsi="Verdana" w:cs="Times New Roman"/>
          <w:b/>
          <w:bCs/>
          <w:sz w:val="20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4"/>
        <w:gridCol w:w="3880"/>
        <w:gridCol w:w="2228"/>
      </w:tblGrid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6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2.6% (629)</w:t>
            </w:r>
          </w:p>
        </w:tc>
      </w:tr>
      <w:tr w:rsidR="00470DA7" w:rsidRPr="00470DA7" w:rsidTr="00470DA7">
        <w:tc>
          <w:tcPr>
            <w:tcW w:w="3720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9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802"/>
            </w:tblGrid>
            <w:tr w:rsidR="00470DA7" w:rsidRPr="00470DA7" w:rsidTr="00470DA7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:rsidR="00470DA7" w:rsidRPr="00470DA7" w:rsidRDefault="00470DA7" w:rsidP="00470D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 w:rsidRPr="00470DA7"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:rsidR="00470DA7" w:rsidRPr="00470DA7" w:rsidRDefault="00470DA7" w:rsidP="0047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n-GB"/>
              </w:rPr>
              <w:t>97.4% (23,936)</w:t>
            </w:r>
          </w:p>
        </w:tc>
      </w:tr>
    </w:tbl>
    <w:p w:rsidR="00470DA7" w:rsidRDefault="00470DA7" w:rsidP="00470DA7">
      <w:pPr>
        <w:pStyle w:val="NormalWeb"/>
        <w:jc w:val="center"/>
        <w:rPr>
          <w:b/>
          <w:sz w:val="20"/>
          <w:szCs w:val="22"/>
          <w:lang w:val="ro-RO"/>
        </w:rPr>
      </w:pPr>
    </w:p>
    <w:p w:rsidR="00470DA7" w:rsidRDefault="00470DA7" w:rsidP="00470DA7">
      <w:pPr>
        <w:pStyle w:val="NormalWeb"/>
        <w:jc w:val="center"/>
        <w:rPr>
          <w:b/>
          <w:sz w:val="20"/>
          <w:szCs w:val="22"/>
          <w:lang w:val="ro-RO"/>
        </w:rPr>
      </w:pPr>
    </w:p>
    <w:p w:rsidR="00470DA7" w:rsidRDefault="00470DA7" w:rsidP="00470DA7">
      <w:pPr>
        <w:pStyle w:val="NormalWeb"/>
        <w:jc w:val="center"/>
        <w:rPr>
          <w:b/>
          <w:sz w:val="20"/>
          <w:szCs w:val="22"/>
          <w:lang w:val="ro-RO"/>
        </w:rPr>
      </w:pPr>
    </w:p>
    <w:p w:rsidR="00470DA7" w:rsidRDefault="00D74EC9" w:rsidP="00470DA7">
      <w:pPr>
        <w:pStyle w:val="NormalWeb"/>
        <w:jc w:val="center"/>
        <w:rPr>
          <w:b/>
          <w:sz w:val="20"/>
          <w:szCs w:val="22"/>
          <w:lang w:val="ro-RO"/>
        </w:rPr>
      </w:pPr>
      <w:r w:rsidRPr="00D74EC9">
        <w:rPr>
          <w:b/>
          <w:sz w:val="20"/>
          <w:szCs w:val="22"/>
          <w:lang w:val="ro-RO"/>
        </w:rPr>
        <w:lastRenderedPageBreak/>
        <w:drawing>
          <wp:inline distT="0" distB="0" distL="0" distR="0">
            <wp:extent cx="6332220" cy="7023167"/>
            <wp:effectExtent l="19050" t="0" r="11430" b="6283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70DA7" w:rsidRDefault="00470DA7" w:rsidP="00470DA7">
      <w:pPr>
        <w:pStyle w:val="NormalWeb"/>
        <w:jc w:val="center"/>
        <w:rPr>
          <w:b/>
          <w:sz w:val="20"/>
          <w:szCs w:val="22"/>
          <w:lang w:val="ro-RO"/>
        </w:rPr>
      </w:pPr>
    </w:p>
    <w:sectPr w:rsidR="00470DA7" w:rsidSect="00F717F8">
      <w:headerReference w:type="default" r:id="rId12"/>
      <w:footerReference w:type="default" r:id="rId13"/>
      <w:pgSz w:w="12240" w:h="15840"/>
      <w:pgMar w:top="1134" w:right="1134" w:bottom="1134" w:left="1134" w:header="709" w:footer="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D03" w:rsidRDefault="000B6D03" w:rsidP="00490E15">
      <w:pPr>
        <w:spacing w:after="0" w:line="240" w:lineRule="auto"/>
      </w:pPr>
      <w:r>
        <w:separator/>
      </w:r>
    </w:p>
  </w:endnote>
  <w:endnote w:type="continuationSeparator" w:id="0">
    <w:p w:rsidR="000B6D03" w:rsidRDefault="000B6D03" w:rsidP="0049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C9" w:rsidRDefault="00D74EC9" w:rsidP="00370F4C">
    <w:pPr>
      <w:pStyle w:val="Footer"/>
      <w:jc w:val="center"/>
      <w:rPr>
        <w:color w:val="1E2D4E"/>
      </w:rPr>
    </w:pPr>
    <w:r w:rsidRPr="006A29D1">
      <w:rPr>
        <w:noProof/>
        <w:color w:val="1E2D4E"/>
        <w:lang w:val="en-GB" w:eastAsia="en-GB"/>
      </w:rPr>
      <w:pict>
        <v:line id="Straight Connector 45" o:spid="_x0000_s4097" style="position:absolute;left:0;text-align:left;z-index:251661824;visibility:visible;mso-width-relative:margin;mso-height-relative:margin" from="47.8pt,10.3pt" to="41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" strokecolor="#1e2d4e" strokeweight="1.5pt"/>
      </w:pict>
    </w:r>
  </w:p>
  <w:p w:rsidR="00D74EC9" w:rsidRPr="00370F4C" w:rsidRDefault="00D74EC9" w:rsidP="00370F4C">
    <w:pPr>
      <w:pStyle w:val="Footer"/>
      <w:jc w:val="center"/>
      <w:rPr>
        <w:color w:val="1E2D4E"/>
      </w:rPr>
    </w:pPr>
    <w:r w:rsidRPr="00370F4C">
      <w:rPr>
        <w:color w:val="1E2D4E"/>
      </w:rPr>
      <w:t>Str. Stavropoleos, nr. 6, Bucureşti, Sector 3, 030084</w:t>
    </w:r>
  </w:p>
  <w:p w:rsidR="00D74EC9" w:rsidRPr="00370F4C" w:rsidRDefault="00D74EC9" w:rsidP="00370F4C">
    <w:pPr>
      <w:pStyle w:val="Footer"/>
      <w:jc w:val="center"/>
      <w:rPr>
        <w:color w:val="1E2D4E"/>
      </w:rPr>
    </w:pPr>
    <w:r w:rsidRPr="00370F4C">
      <w:rPr>
        <w:color w:val="1E2D4E"/>
      </w:rPr>
      <w:t>Telefon: 021.310.07.69, fax: 021.310.13.86</w:t>
    </w:r>
  </w:p>
  <w:p w:rsidR="00D74EC9" w:rsidRPr="00370F4C" w:rsidRDefault="00D74EC9" w:rsidP="00370F4C">
    <w:pPr>
      <w:pStyle w:val="Footer"/>
      <w:jc w:val="center"/>
      <w:rPr>
        <w:color w:val="1E2D4E"/>
      </w:rPr>
    </w:pPr>
    <w:r w:rsidRPr="00370F4C">
      <w:rPr>
        <w:color w:val="1E2D4E"/>
      </w:rPr>
      <w:t>www.roaep.ro, e-mail: registratura@roaep.ro</w:t>
    </w:r>
  </w:p>
  <w:p w:rsidR="00D74EC9" w:rsidRDefault="00D74EC9" w:rsidP="009909CD">
    <w:pPr>
      <w:pStyle w:val="Footer"/>
      <w:tabs>
        <w:tab w:val="clear" w:pos="4513"/>
        <w:tab w:val="clear" w:pos="9026"/>
        <w:tab w:val="left" w:pos="25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D03" w:rsidRDefault="000B6D03" w:rsidP="00490E15">
      <w:pPr>
        <w:spacing w:after="0" w:line="240" w:lineRule="auto"/>
      </w:pPr>
      <w:r>
        <w:separator/>
      </w:r>
    </w:p>
  </w:footnote>
  <w:footnote w:type="continuationSeparator" w:id="0">
    <w:p w:rsidR="000B6D03" w:rsidRDefault="000B6D03" w:rsidP="0049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C9" w:rsidRPr="00490E15" w:rsidRDefault="00D74EC9" w:rsidP="00490E1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-404495</wp:posOffset>
          </wp:positionH>
          <wp:positionV relativeFrom="paragraph">
            <wp:posOffset>-278130</wp:posOffset>
          </wp:positionV>
          <wp:extent cx="6809740" cy="11334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Antet Color Filiala Nord Est_ue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74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A327E"/>
    <w:multiLevelType w:val="hybridMultilevel"/>
    <w:tmpl w:val="4B5EBF74"/>
    <w:lvl w:ilvl="0" w:tplc="5802C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96D3E"/>
    <w:multiLevelType w:val="hybridMultilevel"/>
    <w:tmpl w:val="0544450C"/>
    <w:lvl w:ilvl="0" w:tplc="5802C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90E15"/>
    <w:rsid w:val="00001327"/>
    <w:rsid w:val="00005541"/>
    <w:rsid w:val="00051899"/>
    <w:rsid w:val="000776B4"/>
    <w:rsid w:val="0009226B"/>
    <w:rsid w:val="000925E8"/>
    <w:rsid w:val="000B6D03"/>
    <w:rsid w:val="000D64D3"/>
    <w:rsid w:val="00100D3F"/>
    <w:rsid w:val="00124459"/>
    <w:rsid w:val="00196D6B"/>
    <w:rsid w:val="001A3B2C"/>
    <w:rsid w:val="001A7FA1"/>
    <w:rsid w:val="001E050E"/>
    <w:rsid w:val="001E3E9A"/>
    <w:rsid w:val="00203088"/>
    <w:rsid w:val="00226E6D"/>
    <w:rsid w:val="002319B5"/>
    <w:rsid w:val="00245D10"/>
    <w:rsid w:val="00274F6E"/>
    <w:rsid w:val="00275B0F"/>
    <w:rsid w:val="002B7B2B"/>
    <w:rsid w:val="002D681C"/>
    <w:rsid w:val="002E19E3"/>
    <w:rsid w:val="002E1F77"/>
    <w:rsid w:val="00350877"/>
    <w:rsid w:val="00361B7A"/>
    <w:rsid w:val="00370F4C"/>
    <w:rsid w:val="00375D11"/>
    <w:rsid w:val="003C1FDB"/>
    <w:rsid w:val="003C4C09"/>
    <w:rsid w:val="003C6BD5"/>
    <w:rsid w:val="004170A2"/>
    <w:rsid w:val="00421CF8"/>
    <w:rsid w:val="00432C43"/>
    <w:rsid w:val="004445DA"/>
    <w:rsid w:val="004608CE"/>
    <w:rsid w:val="004671FE"/>
    <w:rsid w:val="00470DA7"/>
    <w:rsid w:val="00490E15"/>
    <w:rsid w:val="00490F6A"/>
    <w:rsid w:val="00493649"/>
    <w:rsid w:val="0049532C"/>
    <w:rsid w:val="004A3D35"/>
    <w:rsid w:val="004E454E"/>
    <w:rsid w:val="00503E16"/>
    <w:rsid w:val="00531F2A"/>
    <w:rsid w:val="00537111"/>
    <w:rsid w:val="00575594"/>
    <w:rsid w:val="005775DE"/>
    <w:rsid w:val="0059229D"/>
    <w:rsid w:val="005A06C4"/>
    <w:rsid w:val="005E2791"/>
    <w:rsid w:val="005E6212"/>
    <w:rsid w:val="006560E4"/>
    <w:rsid w:val="006658A1"/>
    <w:rsid w:val="006A29D1"/>
    <w:rsid w:val="00703723"/>
    <w:rsid w:val="00705C13"/>
    <w:rsid w:val="00726F0F"/>
    <w:rsid w:val="00747BF3"/>
    <w:rsid w:val="007636FD"/>
    <w:rsid w:val="00766397"/>
    <w:rsid w:val="00766640"/>
    <w:rsid w:val="00771368"/>
    <w:rsid w:val="00785F6F"/>
    <w:rsid w:val="007A078A"/>
    <w:rsid w:val="007A45AB"/>
    <w:rsid w:val="007C222B"/>
    <w:rsid w:val="007C4C31"/>
    <w:rsid w:val="007D6167"/>
    <w:rsid w:val="007E005F"/>
    <w:rsid w:val="007F5E91"/>
    <w:rsid w:val="00803FE6"/>
    <w:rsid w:val="00815B61"/>
    <w:rsid w:val="008355CE"/>
    <w:rsid w:val="008855B9"/>
    <w:rsid w:val="008C3B28"/>
    <w:rsid w:val="008C677D"/>
    <w:rsid w:val="008E7212"/>
    <w:rsid w:val="008F279D"/>
    <w:rsid w:val="00917F15"/>
    <w:rsid w:val="009301D6"/>
    <w:rsid w:val="00952A7E"/>
    <w:rsid w:val="00987EAE"/>
    <w:rsid w:val="009909CD"/>
    <w:rsid w:val="009C3078"/>
    <w:rsid w:val="009D33C7"/>
    <w:rsid w:val="009F0621"/>
    <w:rsid w:val="00A011FB"/>
    <w:rsid w:val="00A066CE"/>
    <w:rsid w:val="00A164AE"/>
    <w:rsid w:val="00A3139C"/>
    <w:rsid w:val="00A423C3"/>
    <w:rsid w:val="00A849CB"/>
    <w:rsid w:val="00AD01A8"/>
    <w:rsid w:val="00AD14AB"/>
    <w:rsid w:val="00AF7230"/>
    <w:rsid w:val="00B634C9"/>
    <w:rsid w:val="00BA3258"/>
    <w:rsid w:val="00BC4ACC"/>
    <w:rsid w:val="00BD07E3"/>
    <w:rsid w:val="00BD709D"/>
    <w:rsid w:val="00C33263"/>
    <w:rsid w:val="00C6126B"/>
    <w:rsid w:val="00C62A2A"/>
    <w:rsid w:val="00C75CD6"/>
    <w:rsid w:val="00CA29FD"/>
    <w:rsid w:val="00CB46EA"/>
    <w:rsid w:val="00CC2A43"/>
    <w:rsid w:val="00CD07CA"/>
    <w:rsid w:val="00D1345F"/>
    <w:rsid w:val="00D3102B"/>
    <w:rsid w:val="00D334FB"/>
    <w:rsid w:val="00D40C66"/>
    <w:rsid w:val="00D61891"/>
    <w:rsid w:val="00D73B37"/>
    <w:rsid w:val="00D74EC9"/>
    <w:rsid w:val="00DA5A4B"/>
    <w:rsid w:val="00DB7E0F"/>
    <w:rsid w:val="00DD0B31"/>
    <w:rsid w:val="00DE46D4"/>
    <w:rsid w:val="00DE51FF"/>
    <w:rsid w:val="00E030A3"/>
    <w:rsid w:val="00E32585"/>
    <w:rsid w:val="00E47445"/>
    <w:rsid w:val="00E7004D"/>
    <w:rsid w:val="00EC4D81"/>
    <w:rsid w:val="00ED1BD6"/>
    <w:rsid w:val="00EE0AFF"/>
    <w:rsid w:val="00F0012A"/>
    <w:rsid w:val="00F23B56"/>
    <w:rsid w:val="00F717F8"/>
    <w:rsid w:val="00F82649"/>
    <w:rsid w:val="00F871C2"/>
    <w:rsid w:val="00FA11EE"/>
    <w:rsid w:val="00FA65A1"/>
    <w:rsid w:val="00FD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15"/>
  </w:style>
  <w:style w:type="paragraph" w:styleId="Footer">
    <w:name w:val="footer"/>
    <w:basedOn w:val="Normal"/>
    <w:link w:val="Foot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15"/>
  </w:style>
  <w:style w:type="paragraph" w:styleId="BalloonText">
    <w:name w:val="Balloon Text"/>
    <w:basedOn w:val="Normal"/>
    <w:link w:val="BalloonTextChar"/>
    <w:uiPriority w:val="99"/>
    <w:semiHidden/>
    <w:unhideWhenUsed/>
    <w:rsid w:val="0049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4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44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24459"/>
    <w:rPr>
      <w:b/>
      <w:bCs/>
    </w:rPr>
  </w:style>
  <w:style w:type="paragraph" w:styleId="ListParagraph">
    <w:name w:val="List Paragraph"/>
    <w:basedOn w:val="Normal"/>
    <w:uiPriority w:val="34"/>
    <w:qFormat/>
    <w:rsid w:val="005E62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00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00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004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73B37"/>
    <w:rPr>
      <w:color w:val="954F72"/>
      <w:u w:val="single"/>
    </w:rPr>
  </w:style>
  <w:style w:type="paragraph" w:customStyle="1" w:styleId="xl63">
    <w:name w:val="xl63"/>
    <w:basedOn w:val="Normal"/>
    <w:rsid w:val="00D7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4">
    <w:name w:val="xl64"/>
    <w:basedOn w:val="Normal"/>
    <w:rsid w:val="00D73B37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5">
    <w:name w:val="xl65"/>
    <w:basedOn w:val="Normal"/>
    <w:rsid w:val="00D73B37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493649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493649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ondaj.roaep.ro/results.php?survey=21232f297a57a5a743894a0e4a801fc3-7d6bf62&amp;other=3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ondaj.roaep.ro/results.php?survey=21232f297a57a5a743894a0e4a801fc3-7457e3f&amp;other=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ndaj.roaep.ro/results.php?survey=21232f297a57a5a743894a0e4a801fc3-7457e3f&amp;other=4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ada.albescu\Desktop\LUCRARI%202019\ADRESE\chest%20pt%20sorin\operatori.csv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ada.albescu\Desktop\LUCRARI%202019\ADRESE\chest%20pt%20sorin\experti.csv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o-RO" sz="1100"/>
              <a:t>NUMĂR PERSOANE CARE AU COMPLETAT CHESTIONARUL PENTRU OPERATORI DE CALCULATOR, DUPĂ CRITERIUL JUDEȚ, CONFORM DATELOR PE CARE ACESTEA LE-AU COMPLETAT</a:t>
            </a:r>
            <a:endParaRPr lang="en-GB" sz="1100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Sheet4!$A$1:$A$43</c:f>
              <c:strCache>
                <c:ptCount val="43"/>
                <c:pt idx="0">
                  <c:v>Persoane care nu au completat criteriul județ</c:v>
                </c:pt>
                <c:pt idx="1">
                  <c:v>ALBA</c:v>
                </c:pt>
                <c:pt idx="2">
                  <c:v>BUZĂU</c:v>
                </c:pt>
                <c:pt idx="3">
                  <c:v>CARAŞ-SEVERIN</c:v>
                </c:pt>
                <c:pt idx="4">
                  <c:v>CLUJ</c:v>
                </c:pt>
                <c:pt idx="5">
                  <c:v>CONSTANŢA</c:v>
                </c:pt>
                <c:pt idx="6">
                  <c:v>COVASNA</c:v>
                </c:pt>
                <c:pt idx="7">
                  <c:v>DÂMBOVIŢA</c:v>
                </c:pt>
                <c:pt idx="8">
                  <c:v>DOLJ</c:v>
                </c:pt>
                <c:pt idx="9">
                  <c:v>GALAŢI</c:v>
                </c:pt>
                <c:pt idx="10">
                  <c:v>GORJ</c:v>
                </c:pt>
                <c:pt idx="11">
                  <c:v>HARGHITA</c:v>
                </c:pt>
                <c:pt idx="12">
                  <c:v>ARAD</c:v>
                </c:pt>
                <c:pt idx="13">
                  <c:v>HUNEDOARA</c:v>
                </c:pt>
                <c:pt idx="14">
                  <c:v>IALOMIŢA</c:v>
                </c:pt>
                <c:pt idx="15">
                  <c:v>IAŞI</c:v>
                </c:pt>
                <c:pt idx="16">
                  <c:v>ILFOV</c:v>
                </c:pt>
                <c:pt idx="17">
                  <c:v>MARAMUREŞ</c:v>
                </c:pt>
                <c:pt idx="18">
                  <c:v>MEHEDINŢI</c:v>
                </c:pt>
                <c:pt idx="19">
                  <c:v>MUREŞ</c:v>
                </c:pt>
                <c:pt idx="20">
                  <c:v>NEAMŢ</c:v>
                </c:pt>
                <c:pt idx="21">
                  <c:v>OLT</c:v>
                </c:pt>
                <c:pt idx="22">
                  <c:v>PRAHOVA</c:v>
                </c:pt>
                <c:pt idx="23">
                  <c:v>ARGEŞ</c:v>
                </c:pt>
                <c:pt idx="24">
                  <c:v>SATU MARE</c:v>
                </c:pt>
                <c:pt idx="25">
                  <c:v>SĂLAJ</c:v>
                </c:pt>
                <c:pt idx="26">
                  <c:v>SIBIU</c:v>
                </c:pt>
                <c:pt idx="27">
                  <c:v>SUCEAVA</c:v>
                </c:pt>
                <c:pt idx="28">
                  <c:v>TELEORMAN</c:v>
                </c:pt>
                <c:pt idx="29">
                  <c:v>TIMIŞ</c:v>
                </c:pt>
                <c:pt idx="30">
                  <c:v>TULCEA</c:v>
                </c:pt>
                <c:pt idx="31">
                  <c:v>VASLUI</c:v>
                </c:pt>
                <c:pt idx="32">
                  <c:v>VÂLCEA</c:v>
                </c:pt>
                <c:pt idx="33">
                  <c:v>VRANCEA</c:v>
                </c:pt>
                <c:pt idx="34">
                  <c:v>BACĂU</c:v>
                </c:pt>
                <c:pt idx="35">
                  <c:v>MUNICIPIUL BUCUREŞTI</c:v>
                </c:pt>
                <c:pt idx="36">
                  <c:v>BIHOR</c:v>
                </c:pt>
                <c:pt idx="37">
                  <c:v>CĂLĂRAŞI</c:v>
                </c:pt>
                <c:pt idx="38">
                  <c:v>GIURGIU</c:v>
                </c:pt>
                <c:pt idx="39">
                  <c:v>BISTRIŢA-NĂSĂUD</c:v>
                </c:pt>
                <c:pt idx="40">
                  <c:v>BOTOŞANI</c:v>
                </c:pt>
                <c:pt idx="41">
                  <c:v>BRAŞOV</c:v>
                </c:pt>
                <c:pt idx="42">
                  <c:v>BRĂILA</c:v>
                </c:pt>
              </c:strCache>
            </c:strRef>
          </c:cat>
          <c:val>
            <c:numRef>
              <c:f>Sheet4!$B$1:$B$43</c:f>
              <c:numCache>
                <c:formatCode>General</c:formatCode>
                <c:ptCount val="43"/>
                <c:pt idx="0">
                  <c:v>12</c:v>
                </c:pt>
                <c:pt idx="1">
                  <c:v>302</c:v>
                </c:pt>
                <c:pt idx="2">
                  <c:v>339</c:v>
                </c:pt>
                <c:pt idx="3">
                  <c:v>234</c:v>
                </c:pt>
                <c:pt idx="4">
                  <c:v>347</c:v>
                </c:pt>
                <c:pt idx="5">
                  <c:v>388</c:v>
                </c:pt>
                <c:pt idx="6">
                  <c:v>157</c:v>
                </c:pt>
                <c:pt idx="7">
                  <c:v>290</c:v>
                </c:pt>
                <c:pt idx="8">
                  <c:v>403</c:v>
                </c:pt>
                <c:pt idx="9">
                  <c:v>327</c:v>
                </c:pt>
                <c:pt idx="10">
                  <c:v>259</c:v>
                </c:pt>
                <c:pt idx="11">
                  <c:v>208</c:v>
                </c:pt>
                <c:pt idx="12">
                  <c:v>284</c:v>
                </c:pt>
                <c:pt idx="13">
                  <c:v>378</c:v>
                </c:pt>
                <c:pt idx="14">
                  <c:v>156</c:v>
                </c:pt>
                <c:pt idx="15">
                  <c:v>563</c:v>
                </c:pt>
                <c:pt idx="16">
                  <c:v>225</c:v>
                </c:pt>
                <c:pt idx="17">
                  <c:v>305</c:v>
                </c:pt>
                <c:pt idx="18">
                  <c:v>174</c:v>
                </c:pt>
                <c:pt idx="19">
                  <c:v>415</c:v>
                </c:pt>
                <c:pt idx="20">
                  <c:v>339</c:v>
                </c:pt>
                <c:pt idx="21">
                  <c:v>256</c:v>
                </c:pt>
                <c:pt idx="22">
                  <c:v>385</c:v>
                </c:pt>
                <c:pt idx="23">
                  <c:v>356</c:v>
                </c:pt>
                <c:pt idx="24">
                  <c:v>211</c:v>
                </c:pt>
                <c:pt idx="25">
                  <c:v>156</c:v>
                </c:pt>
                <c:pt idx="26">
                  <c:v>275</c:v>
                </c:pt>
                <c:pt idx="27">
                  <c:v>406</c:v>
                </c:pt>
                <c:pt idx="28">
                  <c:v>196</c:v>
                </c:pt>
                <c:pt idx="29">
                  <c:v>417</c:v>
                </c:pt>
                <c:pt idx="30">
                  <c:v>142</c:v>
                </c:pt>
                <c:pt idx="31">
                  <c:v>369</c:v>
                </c:pt>
                <c:pt idx="32">
                  <c:v>331</c:v>
                </c:pt>
                <c:pt idx="33">
                  <c:v>254</c:v>
                </c:pt>
                <c:pt idx="34">
                  <c:v>442</c:v>
                </c:pt>
                <c:pt idx="35">
                  <c:v>959</c:v>
                </c:pt>
                <c:pt idx="36">
                  <c:v>487</c:v>
                </c:pt>
                <c:pt idx="37">
                  <c:v>191</c:v>
                </c:pt>
                <c:pt idx="38">
                  <c:v>159</c:v>
                </c:pt>
                <c:pt idx="39">
                  <c:v>236</c:v>
                </c:pt>
                <c:pt idx="40">
                  <c:v>310</c:v>
                </c:pt>
                <c:pt idx="41">
                  <c:v>245</c:v>
                </c:pt>
                <c:pt idx="42">
                  <c:v>198</c:v>
                </c:pt>
              </c:numCache>
            </c:numRef>
          </c:val>
        </c:ser>
        <c:dLbls>
          <c:showVal val="1"/>
        </c:dLbls>
        <c:gapWidth val="182"/>
        <c:axId val="110228992"/>
        <c:axId val="110230912"/>
      </c:barChart>
      <c:catAx>
        <c:axId val="11022899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10230912"/>
        <c:crosses val="autoZero"/>
        <c:auto val="1"/>
        <c:lblAlgn val="ctr"/>
        <c:lblOffset val="100"/>
      </c:catAx>
      <c:valAx>
        <c:axId val="11023091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10228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spc="0" baseline="0">
                <a:solidFill>
                  <a:sysClr val="windowText" lastClr="000000"/>
                </a:solidFill>
                <a:latin typeface="Times" panose="02020603050405020304" pitchFamily="18" charset="0"/>
                <a:ea typeface="+mn-ea"/>
                <a:cs typeface="Times" panose="02020603050405020304" pitchFamily="18" charset="0"/>
              </a:defRPr>
            </a:pPr>
            <a:r>
              <a:rPr lang="ro-RO" sz="1000"/>
              <a:t>NUMĂR</a:t>
            </a:r>
            <a:r>
              <a:rPr lang="ro-RO" sz="1000" baseline="0"/>
              <a:t> </a:t>
            </a:r>
            <a:r>
              <a:rPr lang="ro-RO" sz="1000"/>
              <a:t>PERSOANE CARE AU COMPLETAT CHESTIONARUL PENTRU EXPERȚII ELECTORALI, DUPĂ CRITERIUL JUDEȚ, CONFORM DATELOR PE CARE ACESTEA LE-AU COMPLETAT</a:t>
            </a:r>
            <a:endParaRPr lang="en-GB" sz="1000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numFmt formatCode="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" panose="02020603050405020304" pitchFamily="18" charset="0"/>
                    <a:ea typeface="+mn-ea"/>
                    <a:cs typeface="Times" panose="02020603050405020304" pitchFamily="18" charset="0"/>
                  </a:defRPr>
                </a:pPr>
                <a:endParaRPr lang="en-US"/>
              </a:p>
            </c:txPr>
            <c:dLblPos val="outEnd"/>
            <c:showVal val="1"/>
            <c:separator>. </c:separator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Sheet4!$A$1:$A$43</c:f>
              <c:strCache>
                <c:ptCount val="43"/>
                <c:pt idx="0">
                  <c:v>Persoane care nu au completat criteriul județ</c:v>
                </c:pt>
                <c:pt idx="1">
                  <c:v>ALBA</c:v>
                </c:pt>
                <c:pt idx="2">
                  <c:v>BUZĂU</c:v>
                </c:pt>
                <c:pt idx="3">
                  <c:v>CARAŞ-SEVERIN</c:v>
                </c:pt>
                <c:pt idx="4">
                  <c:v>CLUJ</c:v>
                </c:pt>
                <c:pt idx="5">
                  <c:v>CONSTANŢA</c:v>
                </c:pt>
                <c:pt idx="6">
                  <c:v>COVASNA</c:v>
                </c:pt>
                <c:pt idx="7">
                  <c:v>DÂMBOVIŢA</c:v>
                </c:pt>
                <c:pt idx="8">
                  <c:v>DOLJ</c:v>
                </c:pt>
                <c:pt idx="9">
                  <c:v>GALAŢI</c:v>
                </c:pt>
                <c:pt idx="10">
                  <c:v>GORJ</c:v>
                </c:pt>
                <c:pt idx="11">
                  <c:v>HARGHITA</c:v>
                </c:pt>
                <c:pt idx="12">
                  <c:v>ARAD</c:v>
                </c:pt>
                <c:pt idx="13">
                  <c:v>HUNEDOARA</c:v>
                </c:pt>
                <c:pt idx="14">
                  <c:v>IALOMIŢA</c:v>
                </c:pt>
                <c:pt idx="15">
                  <c:v>IAŞI</c:v>
                </c:pt>
                <c:pt idx="16">
                  <c:v>ILFOV</c:v>
                </c:pt>
                <c:pt idx="17">
                  <c:v>MARAMUREŞ</c:v>
                </c:pt>
                <c:pt idx="18">
                  <c:v>MEHEDINŢI</c:v>
                </c:pt>
                <c:pt idx="19">
                  <c:v>MUREŞ</c:v>
                </c:pt>
                <c:pt idx="20">
                  <c:v>NEAMŢ</c:v>
                </c:pt>
                <c:pt idx="21">
                  <c:v>OLT</c:v>
                </c:pt>
                <c:pt idx="22">
                  <c:v>PRAHOVA</c:v>
                </c:pt>
                <c:pt idx="23">
                  <c:v>ARGEŞ</c:v>
                </c:pt>
                <c:pt idx="24">
                  <c:v>SATU MARE</c:v>
                </c:pt>
                <c:pt idx="25">
                  <c:v>SĂLAJ</c:v>
                </c:pt>
                <c:pt idx="26">
                  <c:v>SIBIU</c:v>
                </c:pt>
                <c:pt idx="27">
                  <c:v>SUCEAVA</c:v>
                </c:pt>
                <c:pt idx="28">
                  <c:v>TELEORMAN</c:v>
                </c:pt>
                <c:pt idx="29">
                  <c:v>TIMIŞ</c:v>
                </c:pt>
                <c:pt idx="30">
                  <c:v>TULCEA</c:v>
                </c:pt>
                <c:pt idx="31">
                  <c:v>VASLUI</c:v>
                </c:pt>
                <c:pt idx="32">
                  <c:v>VÂLCEA</c:v>
                </c:pt>
                <c:pt idx="33">
                  <c:v>VRANCEA</c:v>
                </c:pt>
                <c:pt idx="34">
                  <c:v>BACĂU</c:v>
                </c:pt>
                <c:pt idx="35">
                  <c:v>MUNICIPIUL BUCUREŞTI</c:v>
                </c:pt>
                <c:pt idx="36">
                  <c:v>BIHOR</c:v>
                </c:pt>
                <c:pt idx="37">
                  <c:v>CĂLĂRAŞI</c:v>
                </c:pt>
                <c:pt idx="38">
                  <c:v>GIURGIU</c:v>
                </c:pt>
                <c:pt idx="39">
                  <c:v>BISTRIŢA-NĂSĂUD</c:v>
                </c:pt>
                <c:pt idx="40">
                  <c:v>BOTOŞANI</c:v>
                </c:pt>
                <c:pt idx="41">
                  <c:v>BRAŞOV</c:v>
                </c:pt>
                <c:pt idx="42">
                  <c:v>BRĂILA</c:v>
                </c:pt>
              </c:strCache>
            </c:strRef>
          </c:cat>
          <c:val>
            <c:numRef>
              <c:f>Sheet4!$B$1:$B$43</c:f>
              <c:numCache>
                <c:formatCode>General</c:formatCode>
                <c:ptCount val="43"/>
                <c:pt idx="0">
                  <c:v>31</c:v>
                </c:pt>
                <c:pt idx="1">
                  <c:v>567</c:v>
                </c:pt>
                <c:pt idx="2">
                  <c:v>677</c:v>
                </c:pt>
                <c:pt idx="3">
                  <c:v>379</c:v>
                </c:pt>
                <c:pt idx="4">
                  <c:v>951</c:v>
                </c:pt>
                <c:pt idx="5">
                  <c:v>720</c:v>
                </c:pt>
                <c:pt idx="6">
                  <c:v>276</c:v>
                </c:pt>
                <c:pt idx="7">
                  <c:v>760</c:v>
                </c:pt>
                <c:pt idx="8">
                  <c:v>609</c:v>
                </c:pt>
                <c:pt idx="9">
                  <c:v>626</c:v>
                </c:pt>
                <c:pt idx="10">
                  <c:v>408</c:v>
                </c:pt>
                <c:pt idx="11">
                  <c:v>195</c:v>
                </c:pt>
                <c:pt idx="12">
                  <c:v>523</c:v>
                </c:pt>
                <c:pt idx="13">
                  <c:v>655</c:v>
                </c:pt>
                <c:pt idx="14">
                  <c:v>207</c:v>
                </c:pt>
                <c:pt idx="15">
                  <c:v>1091</c:v>
                </c:pt>
                <c:pt idx="16">
                  <c:v>327</c:v>
                </c:pt>
                <c:pt idx="17">
                  <c:v>729</c:v>
                </c:pt>
                <c:pt idx="18">
                  <c:v>248</c:v>
                </c:pt>
                <c:pt idx="19">
                  <c:v>660</c:v>
                </c:pt>
                <c:pt idx="20">
                  <c:v>614</c:v>
                </c:pt>
                <c:pt idx="21">
                  <c:v>464</c:v>
                </c:pt>
                <c:pt idx="22">
                  <c:v>1080</c:v>
                </c:pt>
                <c:pt idx="23">
                  <c:v>818</c:v>
                </c:pt>
                <c:pt idx="24">
                  <c:v>393</c:v>
                </c:pt>
                <c:pt idx="25">
                  <c:v>315</c:v>
                </c:pt>
                <c:pt idx="26">
                  <c:v>543</c:v>
                </c:pt>
                <c:pt idx="27">
                  <c:v>710</c:v>
                </c:pt>
                <c:pt idx="28">
                  <c:v>474</c:v>
                </c:pt>
                <c:pt idx="29">
                  <c:v>712</c:v>
                </c:pt>
                <c:pt idx="30">
                  <c:v>299</c:v>
                </c:pt>
                <c:pt idx="31">
                  <c:v>749</c:v>
                </c:pt>
                <c:pt idx="32">
                  <c:v>431</c:v>
                </c:pt>
                <c:pt idx="33">
                  <c:v>484</c:v>
                </c:pt>
                <c:pt idx="34">
                  <c:v>786</c:v>
                </c:pt>
                <c:pt idx="35">
                  <c:v>1446</c:v>
                </c:pt>
                <c:pt idx="36">
                  <c:v>959</c:v>
                </c:pt>
                <c:pt idx="37">
                  <c:v>266</c:v>
                </c:pt>
                <c:pt idx="38">
                  <c:v>190</c:v>
                </c:pt>
                <c:pt idx="39">
                  <c:v>451</c:v>
                </c:pt>
                <c:pt idx="40">
                  <c:v>592</c:v>
                </c:pt>
                <c:pt idx="41">
                  <c:v>739</c:v>
                </c:pt>
                <c:pt idx="42">
                  <c:v>412</c:v>
                </c:pt>
              </c:numCache>
            </c:numRef>
          </c:val>
        </c:ser>
        <c:gapWidth val="182"/>
        <c:axId val="142557184"/>
        <c:axId val="142559872"/>
      </c:barChart>
      <c:catAx>
        <c:axId val="14255718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" panose="02020603050405020304" pitchFamily="18" charset="0"/>
                <a:ea typeface="+mn-ea"/>
                <a:cs typeface="Times" panose="02020603050405020304" pitchFamily="18" charset="0"/>
              </a:defRPr>
            </a:pPr>
            <a:endParaRPr lang="en-US"/>
          </a:p>
        </c:txPr>
        <c:crossAx val="142559872"/>
        <c:crosses val="autoZero"/>
        <c:auto val="1"/>
        <c:lblAlgn val="ctr"/>
        <c:lblOffset val="100"/>
      </c:catAx>
      <c:valAx>
        <c:axId val="1425598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" panose="02020603050405020304" pitchFamily="18" charset="0"/>
                <a:ea typeface="+mn-ea"/>
                <a:cs typeface="Times" panose="02020603050405020304" pitchFamily="18" charset="0"/>
              </a:defRPr>
            </a:pPr>
            <a:endParaRPr lang="en-US"/>
          </a:p>
        </c:txPr>
        <c:crossAx val="142557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" panose="02020603050405020304" pitchFamily="18" charset="0"/>
          <a:cs typeface="Times" panose="02020603050405020304" pitchFamily="18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 Geanina Hirtopanu</dc:creator>
  <cp:lastModifiedBy>ana.revnic</cp:lastModifiedBy>
  <cp:revision>4</cp:revision>
  <cp:lastPrinted>2019-07-31T12:25:00Z</cp:lastPrinted>
  <dcterms:created xsi:type="dcterms:W3CDTF">2019-07-31T11:51:00Z</dcterms:created>
  <dcterms:modified xsi:type="dcterms:W3CDTF">2019-07-31T12:27:00Z</dcterms:modified>
</cp:coreProperties>
</file>