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7C" w:rsidRPr="00EF6A4E" w:rsidRDefault="00CC717C" w:rsidP="00CC717C">
      <w:pPr>
        <w:pStyle w:val="FootnoteText"/>
        <w:spacing w:after="0"/>
        <w:jc w:val="both"/>
        <w:rPr>
          <w:rFonts w:ascii="Times New Roman" w:hAnsi="Times New Roman" w:cs="Times New Roman"/>
          <w:sz w:val="26"/>
          <w:szCs w:val="26"/>
        </w:rPr>
      </w:pPr>
      <w:bookmarkStart w:id="0" w:name="_GoBack"/>
      <w:bookmarkEnd w:id="0"/>
    </w:p>
    <w:p w:rsidR="00CC717C" w:rsidRPr="00ED789B" w:rsidRDefault="00CC717C" w:rsidP="00CC717C">
      <w:pPr>
        <w:spacing w:after="0"/>
        <w:jc w:val="right"/>
        <w:rPr>
          <w:rFonts w:ascii="Times New Roman" w:hAnsi="Times New Roman" w:cs="Times New Roman"/>
          <w:i/>
          <w:sz w:val="26"/>
          <w:szCs w:val="26"/>
          <w:u w:val="single"/>
        </w:rPr>
      </w:pPr>
      <w:r w:rsidRPr="00ED789B">
        <w:rPr>
          <w:rFonts w:ascii="Times New Roman" w:hAnsi="Times New Roman" w:cs="Times New Roman"/>
          <w:i/>
          <w:sz w:val="26"/>
          <w:szCs w:val="26"/>
          <w:u w:val="single"/>
        </w:rPr>
        <w:t>Anexa nr. 2</w:t>
      </w:r>
    </w:p>
    <w:p w:rsidR="00CC717C" w:rsidRPr="00EF6A4E" w:rsidRDefault="00CC717C" w:rsidP="00CC717C">
      <w:pPr>
        <w:spacing w:after="0"/>
        <w:jc w:val="right"/>
        <w:rPr>
          <w:rFonts w:ascii="Times New Roman" w:hAnsi="Times New Roman" w:cs="Times New Roman"/>
          <w:i/>
          <w:sz w:val="26"/>
          <w:szCs w:val="26"/>
        </w:rPr>
      </w:pPr>
    </w:p>
    <w:p w:rsidR="00CC717C" w:rsidRPr="00EF6A4E" w:rsidRDefault="00CC717C" w:rsidP="00CC717C">
      <w:pPr>
        <w:spacing w:after="0"/>
        <w:jc w:val="center"/>
        <w:rPr>
          <w:rFonts w:ascii="Times New Roman" w:hAnsi="Times New Roman" w:cs="Times New Roman"/>
          <w:b/>
          <w:sz w:val="26"/>
          <w:szCs w:val="26"/>
        </w:rPr>
      </w:pPr>
      <w:r w:rsidRPr="00EF6A4E">
        <w:rPr>
          <w:rFonts w:ascii="Times New Roman" w:hAnsi="Times New Roman" w:cs="Times New Roman"/>
          <w:b/>
          <w:sz w:val="26"/>
          <w:szCs w:val="26"/>
        </w:rPr>
        <w:t xml:space="preserve">Modelul adeverinței care atestă îndeplinirea condițiilor prevăzute de </w:t>
      </w:r>
      <w:r w:rsidRPr="00EF6A4E">
        <w:rPr>
          <w:rFonts w:ascii="Times New Roman" w:hAnsi="Times New Roman" w:cs="Times New Roman"/>
          <w:b/>
          <w:bCs/>
          <w:sz w:val="26"/>
          <w:szCs w:val="26"/>
        </w:rPr>
        <w:t>art. 73 alin. (3) din Legea nr. 33/2007 privind organizarea şi desfăşurarea alegerilor pentru Parlamentul European, republicată, cu modificările ulterioare</w:t>
      </w:r>
    </w:p>
    <w:p w:rsidR="00CC717C" w:rsidRPr="00EF6A4E" w:rsidRDefault="00CC717C" w:rsidP="00CC717C">
      <w:pPr>
        <w:spacing w:after="0"/>
        <w:jc w:val="both"/>
        <w:rPr>
          <w:rFonts w:ascii="Times New Roman" w:hAnsi="Times New Roman" w:cs="Times New Roman"/>
          <w:sz w:val="26"/>
          <w:szCs w:val="26"/>
        </w:rPr>
      </w:pPr>
    </w:p>
    <w:p w:rsidR="00CC717C" w:rsidRPr="00EF6A4E" w:rsidRDefault="00CC717C" w:rsidP="00CC717C">
      <w:pPr>
        <w:spacing w:after="0"/>
        <w:rPr>
          <w:rFonts w:ascii="Times New Roman" w:hAnsi="Times New Roman" w:cs="Times New Roman"/>
          <w:b/>
          <w:sz w:val="26"/>
          <w:szCs w:val="26"/>
        </w:rPr>
      </w:pPr>
      <w:r>
        <w:rPr>
          <w:noProof/>
          <w:lang w:eastAsia="ko-KR"/>
        </w:rPr>
        <w:drawing>
          <wp:inline distT="0" distB="0" distL="0" distR="0">
            <wp:extent cx="5962650"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1060450"/>
                    </a:xfrm>
                    <a:prstGeom prst="rect">
                      <a:avLst/>
                    </a:prstGeom>
                    <a:noFill/>
                    <a:ln>
                      <a:noFill/>
                    </a:ln>
                  </pic:spPr>
                </pic:pic>
              </a:graphicData>
            </a:graphic>
          </wp:inline>
        </w:drawing>
      </w:r>
    </w:p>
    <w:p w:rsidR="00CC717C" w:rsidRDefault="00CC717C" w:rsidP="00CC717C">
      <w:pPr>
        <w:spacing w:after="0"/>
        <w:jc w:val="center"/>
        <w:rPr>
          <w:rFonts w:ascii="Times New Roman" w:hAnsi="Times New Roman" w:cs="Times New Roman"/>
          <w:b/>
          <w:sz w:val="26"/>
          <w:szCs w:val="26"/>
        </w:rPr>
      </w:pPr>
    </w:p>
    <w:p w:rsidR="00CC717C" w:rsidRPr="00EF6A4E" w:rsidRDefault="00CC717C" w:rsidP="00CC717C">
      <w:pPr>
        <w:spacing w:after="0"/>
        <w:jc w:val="center"/>
        <w:rPr>
          <w:rFonts w:ascii="Times New Roman" w:hAnsi="Times New Roman" w:cs="Times New Roman"/>
          <w:b/>
          <w:sz w:val="26"/>
          <w:szCs w:val="26"/>
        </w:rPr>
      </w:pPr>
      <w:r w:rsidRPr="00EF6A4E">
        <w:rPr>
          <w:rFonts w:ascii="Times New Roman" w:hAnsi="Times New Roman" w:cs="Times New Roman"/>
          <w:b/>
          <w:sz w:val="26"/>
          <w:szCs w:val="26"/>
        </w:rPr>
        <w:t>ADEVERINŢĂ</w:t>
      </w:r>
    </w:p>
    <w:p w:rsidR="00CC717C" w:rsidRPr="00EF6A4E" w:rsidRDefault="00CC717C" w:rsidP="00CC717C">
      <w:pPr>
        <w:spacing w:after="0"/>
        <w:ind w:firstLine="720"/>
        <w:jc w:val="both"/>
        <w:rPr>
          <w:rFonts w:ascii="Times New Roman" w:hAnsi="Times New Roman" w:cs="Times New Roman"/>
          <w:b/>
          <w:sz w:val="26"/>
          <w:szCs w:val="26"/>
        </w:rPr>
      </w:pPr>
    </w:p>
    <w:p w:rsidR="00CC717C" w:rsidRPr="00EF6A4E" w:rsidRDefault="00CC717C" w:rsidP="00CC717C">
      <w:pPr>
        <w:spacing w:after="0"/>
        <w:ind w:firstLine="708"/>
        <w:jc w:val="both"/>
        <w:rPr>
          <w:rFonts w:ascii="Times New Roman" w:hAnsi="Times New Roman" w:cs="Times New Roman"/>
          <w:sz w:val="26"/>
          <w:szCs w:val="26"/>
        </w:rPr>
      </w:pPr>
      <w:r w:rsidRPr="00EF6A4E">
        <w:rPr>
          <w:rFonts w:ascii="Times New Roman" w:hAnsi="Times New Roman" w:cs="Times New Roman"/>
          <w:sz w:val="26"/>
          <w:szCs w:val="26"/>
        </w:rPr>
        <w:t>În temeiul art. 73 alin. (7) din</w:t>
      </w:r>
      <w:r w:rsidRPr="00EF6A4E">
        <w:rPr>
          <w:rFonts w:ascii="Times New Roman" w:hAnsi="Times New Roman" w:cs="Times New Roman"/>
          <w:bCs/>
          <w:sz w:val="26"/>
          <w:szCs w:val="26"/>
        </w:rPr>
        <w:t xml:space="preserve"> Legea nr. 33/2007 privind organizarea şi desfăşurarea alegerilor pentru Parlamentul European, republicată,</w:t>
      </w:r>
      <w:r w:rsidRPr="00EF6A4E">
        <w:rPr>
          <w:rFonts w:ascii="Times New Roman" w:hAnsi="Times New Roman" w:cs="Times New Roman"/>
          <w:sz w:val="26"/>
          <w:szCs w:val="26"/>
        </w:rPr>
        <w:t xml:space="preserve"> cu modificările ulterioare, adeverim prin prezenta, că organizaţia neguvernamentală _______________________</w:t>
      </w:r>
      <w:r w:rsidRPr="00551051">
        <w:rPr>
          <w:rFonts w:ascii="Times New Roman" w:hAnsi="Times New Roman" w:cs="Times New Roman"/>
          <w:sz w:val="26"/>
          <w:szCs w:val="26"/>
          <w:vertAlign w:val="superscript"/>
        </w:rPr>
        <w:t>1)</w:t>
      </w:r>
      <w:r w:rsidRPr="00EF6A4E">
        <w:rPr>
          <w:rFonts w:ascii="Times New Roman" w:hAnsi="Times New Roman" w:cs="Times New Roman"/>
          <w:sz w:val="26"/>
          <w:szCs w:val="26"/>
        </w:rPr>
        <w:t xml:space="preserve">, îndeplineşte condiţiile prevăzute de </w:t>
      </w:r>
      <w:r w:rsidRPr="00EF6A4E">
        <w:rPr>
          <w:rFonts w:ascii="Times New Roman" w:hAnsi="Times New Roman" w:cs="Times New Roman"/>
          <w:bCs/>
          <w:sz w:val="26"/>
          <w:szCs w:val="26"/>
        </w:rPr>
        <w:t>art. 73 alin. (3) din Legea nr. 33/2007, republicată,</w:t>
      </w:r>
      <w:r w:rsidRPr="00EF6A4E">
        <w:rPr>
          <w:rFonts w:ascii="Times New Roman" w:hAnsi="Times New Roman" w:cs="Times New Roman"/>
          <w:sz w:val="26"/>
          <w:szCs w:val="26"/>
        </w:rPr>
        <w:t xml:space="preserve"> cu modificările ulterioare, pentru a participa cu observatori interni la alegerile pentru membrii din România în Parlamentul European.</w:t>
      </w:r>
    </w:p>
    <w:p w:rsidR="00CC717C" w:rsidRPr="00EF6A4E" w:rsidRDefault="00CC717C" w:rsidP="00CC717C">
      <w:pPr>
        <w:spacing w:after="0"/>
        <w:ind w:firstLine="720"/>
        <w:jc w:val="both"/>
        <w:rPr>
          <w:rFonts w:ascii="Times New Roman" w:hAnsi="Times New Roman" w:cs="Times New Roman"/>
          <w:sz w:val="26"/>
          <w:szCs w:val="26"/>
        </w:rPr>
      </w:pPr>
    </w:p>
    <w:p w:rsidR="00CC717C" w:rsidRPr="00EF6A4E" w:rsidRDefault="00CC717C" w:rsidP="00CC717C">
      <w:pPr>
        <w:tabs>
          <w:tab w:val="center" w:pos="5346"/>
          <w:tab w:val="left" w:pos="6555"/>
        </w:tabs>
        <w:spacing w:after="0"/>
        <w:jc w:val="center"/>
        <w:rPr>
          <w:rFonts w:ascii="Times New Roman" w:hAnsi="Times New Roman" w:cs="Times New Roman"/>
          <w:b/>
          <w:sz w:val="26"/>
          <w:szCs w:val="26"/>
        </w:rPr>
      </w:pPr>
      <w:r w:rsidRPr="00EF6A4E">
        <w:rPr>
          <w:rFonts w:ascii="Times New Roman" w:hAnsi="Times New Roman" w:cs="Times New Roman"/>
          <w:b/>
          <w:sz w:val="26"/>
          <w:szCs w:val="26"/>
        </w:rPr>
        <w:t>Președinte,</w:t>
      </w:r>
    </w:p>
    <w:p w:rsidR="00CC717C" w:rsidRPr="00EF6A4E" w:rsidRDefault="00CC717C" w:rsidP="00CC717C">
      <w:pPr>
        <w:spacing w:after="0"/>
        <w:jc w:val="center"/>
        <w:rPr>
          <w:rFonts w:ascii="Times New Roman" w:hAnsi="Times New Roman" w:cs="Times New Roman"/>
          <w:b/>
          <w:sz w:val="26"/>
          <w:szCs w:val="26"/>
        </w:rPr>
      </w:pPr>
      <w:r w:rsidRPr="00EF6A4E">
        <w:rPr>
          <w:rFonts w:ascii="Times New Roman" w:hAnsi="Times New Roman" w:cs="Times New Roman"/>
          <w:b/>
          <w:sz w:val="26"/>
          <w:szCs w:val="26"/>
        </w:rPr>
        <w:t>________________________________________</w:t>
      </w:r>
      <w:r w:rsidRPr="00551051">
        <w:rPr>
          <w:rFonts w:ascii="Times New Roman" w:hAnsi="Times New Roman" w:cs="Times New Roman"/>
          <w:sz w:val="26"/>
          <w:szCs w:val="26"/>
          <w:vertAlign w:val="superscript"/>
        </w:rPr>
        <w:t>2)</w:t>
      </w:r>
    </w:p>
    <w:p w:rsidR="00CC717C" w:rsidRPr="00EF6A4E" w:rsidRDefault="00CC717C" w:rsidP="00CC717C">
      <w:pPr>
        <w:spacing w:after="0"/>
        <w:jc w:val="both"/>
        <w:rPr>
          <w:rFonts w:ascii="Times New Roman" w:hAnsi="Times New Roman" w:cs="Times New Roman"/>
          <w:sz w:val="26"/>
          <w:szCs w:val="26"/>
        </w:rPr>
      </w:pPr>
    </w:p>
    <w:p w:rsidR="00CC717C" w:rsidRPr="00EF6A4E" w:rsidRDefault="00CC717C" w:rsidP="00CC717C">
      <w:pPr>
        <w:pBdr>
          <w:bottom w:val="single" w:sz="12" w:space="1" w:color="auto"/>
        </w:pBdr>
        <w:spacing w:after="0"/>
        <w:jc w:val="both"/>
        <w:rPr>
          <w:rFonts w:ascii="Times New Roman" w:hAnsi="Times New Roman" w:cs="Times New Roman"/>
          <w:sz w:val="26"/>
          <w:szCs w:val="26"/>
        </w:rPr>
      </w:pPr>
    </w:p>
    <w:p w:rsidR="00CC717C" w:rsidRPr="00551051" w:rsidRDefault="00CC717C" w:rsidP="00CC717C">
      <w:pPr>
        <w:spacing w:after="0" w:line="240" w:lineRule="auto"/>
        <w:jc w:val="both"/>
        <w:rPr>
          <w:rFonts w:ascii="Times New Roman" w:hAnsi="Times New Roman" w:cs="Times New Roman"/>
          <w:b/>
          <w:sz w:val="20"/>
          <w:szCs w:val="20"/>
        </w:rPr>
      </w:pPr>
    </w:p>
    <w:p w:rsidR="00CC717C" w:rsidRPr="00551051" w:rsidRDefault="00CC717C" w:rsidP="00CC717C">
      <w:pPr>
        <w:spacing w:after="0" w:line="240" w:lineRule="auto"/>
        <w:jc w:val="both"/>
        <w:rPr>
          <w:rFonts w:ascii="Times New Roman" w:hAnsi="Times New Roman" w:cs="Times New Roman"/>
          <w:sz w:val="20"/>
          <w:szCs w:val="20"/>
        </w:rPr>
      </w:pPr>
      <w:r w:rsidRPr="00551051">
        <w:rPr>
          <w:rFonts w:ascii="Times New Roman" w:hAnsi="Times New Roman" w:cs="Times New Roman"/>
          <w:sz w:val="20"/>
          <w:szCs w:val="20"/>
          <w:vertAlign w:val="superscript"/>
        </w:rPr>
        <w:t>1</w:t>
      </w:r>
      <w:r w:rsidRPr="00551051">
        <w:rPr>
          <w:rFonts w:ascii="Times New Roman" w:hAnsi="Times New Roman" w:cs="Times New Roman"/>
          <w:sz w:val="20"/>
          <w:szCs w:val="20"/>
        </w:rPr>
        <w:t>) Se înscrie denumirea organizaţiei neguvernamentale;</w:t>
      </w:r>
    </w:p>
    <w:p w:rsidR="00CC717C" w:rsidRPr="00551051" w:rsidRDefault="00CC717C" w:rsidP="00CC717C">
      <w:pPr>
        <w:spacing w:after="0" w:line="240" w:lineRule="auto"/>
        <w:jc w:val="both"/>
        <w:rPr>
          <w:rFonts w:ascii="Times New Roman" w:hAnsi="Times New Roman" w:cs="Times New Roman"/>
          <w:sz w:val="20"/>
          <w:szCs w:val="20"/>
        </w:rPr>
      </w:pPr>
      <w:r w:rsidRPr="00551051">
        <w:rPr>
          <w:rFonts w:ascii="Times New Roman" w:hAnsi="Times New Roman" w:cs="Times New Roman"/>
          <w:sz w:val="20"/>
          <w:szCs w:val="20"/>
          <w:vertAlign w:val="superscript"/>
        </w:rPr>
        <w:t>2</w:t>
      </w:r>
      <w:r w:rsidRPr="00551051">
        <w:rPr>
          <w:rFonts w:ascii="Times New Roman" w:hAnsi="Times New Roman" w:cs="Times New Roman"/>
          <w:sz w:val="20"/>
          <w:szCs w:val="20"/>
        </w:rPr>
        <w:t>) Se înscriu prenumele şi numele preşedintelui Autorităţii Electorale Permanente, se înscrie semnătura preşedintelui sau a persoanei împuternicite de acesta să semneze şi se aplică ştampila Autorităţii Electorale Permanente.</w:t>
      </w:r>
    </w:p>
    <w:p w:rsidR="00CC717C" w:rsidRDefault="00CC717C" w:rsidP="00CC717C">
      <w:pPr>
        <w:spacing w:after="0" w:line="240" w:lineRule="auto"/>
        <w:jc w:val="both"/>
        <w:rPr>
          <w:rFonts w:ascii="Times New Roman" w:hAnsi="Times New Roman" w:cs="Times New Roman"/>
          <w:b/>
          <w:sz w:val="20"/>
          <w:szCs w:val="20"/>
        </w:rPr>
      </w:pPr>
    </w:p>
    <w:p w:rsidR="00CC717C" w:rsidRDefault="00CC717C" w:rsidP="00CC717C">
      <w:pPr>
        <w:spacing w:after="0"/>
        <w:jc w:val="both"/>
        <w:rPr>
          <w:rFonts w:ascii="Times New Roman" w:hAnsi="Times New Roman" w:cs="Times New Roman"/>
          <w:b/>
          <w:sz w:val="20"/>
          <w:szCs w:val="20"/>
        </w:rPr>
      </w:pPr>
    </w:p>
    <w:p w:rsidR="002E0F01" w:rsidRDefault="002E0F01" w:rsidP="00CC717C">
      <w:pPr>
        <w:spacing w:after="0"/>
        <w:jc w:val="both"/>
        <w:rPr>
          <w:rFonts w:ascii="Times New Roman" w:hAnsi="Times New Roman" w:cs="Times New Roman"/>
          <w:b/>
          <w:sz w:val="20"/>
          <w:szCs w:val="20"/>
        </w:rPr>
      </w:pPr>
    </w:p>
    <w:p w:rsidR="002E0F01" w:rsidRDefault="002E0F01" w:rsidP="00CC717C">
      <w:pPr>
        <w:spacing w:after="0"/>
        <w:jc w:val="both"/>
        <w:rPr>
          <w:rFonts w:ascii="Times New Roman" w:hAnsi="Times New Roman" w:cs="Times New Roman"/>
          <w:b/>
          <w:sz w:val="20"/>
          <w:szCs w:val="20"/>
        </w:rPr>
      </w:pPr>
    </w:p>
    <w:p w:rsidR="002E0F01" w:rsidRDefault="002E0F01" w:rsidP="00CC717C">
      <w:pPr>
        <w:spacing w:after="0"/>
        <w:jc w:val="both"/>
        <w:rPr>
          <w:rFonts w:ascii="Times New Roman" w:hAnsi="Times New Roman" w:cs="Times New Roman"/>
          <w:b/>
          <w:sz w:val="20"/>
          <w:szCs w:val="20"/>
        </w:rPr>
      </w:pPr>
    </w:p>
    <w:p w:rsidR="002E0F01" w:rsidRDefault="002E0F01" w:rsidP="002E0F01">
      <w:pPr>
        <w:spacing w:after="0" w:line="240" w:lineRule="auto"/>
        <w:jc w:val="both"/>
        <w:rPr>
          <w:rFonts w:ascii="Times New Roman" w:hAnsi="Times New Roman" w:cs="Times New Roman"/>
          <w:b/>
          <w:sz w:val="20"/>
          <w:szCs w:val="20"/>
        </w:rPr>
      </w:pPr>
    </w:p>
    <w:p w:rsidR="002E0F01" w:rsidRDefault="002E0F01" w:rsidP="002E0F01">
      <w:pPr>
        <w:spacing w:after="0" w:line="240" w:lineRule="auto"/>
        <w:jc w:val="both"/>
        <w:rPr>
          <w:rFonts w:ascii="Times New Roman" w:hAnsi="Times New Roman" w:cs="Times New Roman"/>
          <w:b/>
          <w:sz w:val="20"/>
          <w:szCs w:val="20"/>
        </w:rPr>
      </w:pPr>
    </w:p>
    <w:p w:rsidR="002E0F01" w:rsidRDefault="002E0F01" w:rsidP="002E0F01">
      <w:pPr>
        <w:spacing w:after="0" w:line="240" w:lineRule="auto"/>
        <w:jc w:val="both"/>
        <w:rPr>
          <w:rFonts w:ascii="Times New Roman" w:hAnsi="Times New Roman" w:cs="Times New Roman"/>
          <w:b/>
          <w:sz w:val="20"/>
          <w:szCs w:val="20"/>
        </w:rPr>
      </w:pPr>
    </w:p>
    <w:p w:rsidR="002E0F01" w:rsidRPr="00551051" w:rsidRDefault="002E0F01" w:rsidP="002E0F01">
      <w:pPr>
        <w:spacing w:after="0" w:line="240" w:lineRule="auto"/>
        <w:jc w:val="both"/>
        <w:rPr>
          <w:rFonts w:ascii="Times New Roman" w:hAnsi="Times New Roman" w:cs="Times New Roman"/>
          <w:b/>
          <w:sz w:val="20"/>
          <w:szCs w:val="20"/>
        </w:rPr>
      </w:pPr>
      <w:r w:rsidRPr="00551051">
        <w:rPr>
          <w:rFonts w:ascii="Times New Roman" w:hAnsi="Times New Roman" w:cs="Times New Roman"/>
          <w:b/>
          <w:sz w:val="20"/>
          <w:szCs w:val="20"/>
        </w:rPr>
        <w:t>NOT</w:t>
      </w:r>
      <w:r>
        <w:rPr>
          <w:rFonts w:ascii="Times New Roman" w:hAnsi="Times New Roman" w:cs="Times New Roman"/>
          <w:b/>
          <w:sz w:val="20"/>
          <w:szCs w:val="20"/>
        </w:rPr>
        <w:t>Ă:</w:t>
      </w:r>
    </w:p>
    <w:p w:rsidR="00F83CFB" w:rsidRPr="00CC717C" w:rsidRDefault="002E0F01" w:rsidP="002E0F01">
      <w:pPr>
        <w:spacing w:after="0" w:line="240" w:lineRule="auto"/>
        <w:jc w:val="both"/>
      </w:pPr>
      <w:r w:rsidRPr="009517CF">
        <w:rPr>
          <w:rFonts w:ascii="Times New Roman" w:hAnsi="Times New Roman" w:cs="Times New Roman"/>
        </w:rPr>
        <w:t>Prezenta adeverinţă este valabilă a</w:t>
      </w:r>
      <w:r>
        <w:rPr>
          <w:rFonts w:ascii="Times New Roman" w:hAnsi="Times New Roman" w:cs="Times New Roman"/>
        </w:rPr>
        <w:t xml:space="preserve">tât în original, cât și în copie și permite organizației neguvernamentale să solicite birourilor electorale județene, birourilor electorale ale sectoarelor municipiului București și biroului electoral pentru secțiile de votare din străinătate acreditarea ca observatori interni a reprezentanților săi care declară în scris că nu au apartenență politică. </w:t>
      </w:r>
    </w:p>
    <w:sectPr w:rsidR="00F83CFB" w:rsidRPr="00CC7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D95"/>
      </v:shape>
    </w:pict>
  </w:numPicBullet>
  <w:abstractNum w:abstractNumId="0">
    <w:nsid w:val="19A7615D"/>
    <w:multiLevelType w:val="hybridMultilevel"/>
    <w:tmpl w:val="F04EA6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1DC0E9C"/>
    <w:multiLevelType w:val="hybridMultilevel"/>
    <w:tmpl w:val="462690B8"/>
    <w:lvl w:ilvl="0" w:tplc="04180007">
      <w:start w:val="1"/>
      <w:numFmt w:val="bullet"/>
      <w:lvlText w:val=""/>
      <w:lvlPicBulletId w:val="0"/>
      <w:lvlJc w:val="left"/>
      <w:pPr>
        <w:ind w:left="92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BF"/>
    <w:rsid w:val="00165C73"/>
    <w:rsid w:val="002E0F01"/>
    <w:rsid w:val="00721FBF"/>
    <w:rsid w:val="00821877"/>
    <w:rsid w:val="00823B42"/>
    <w:rsid w:val="00CC717C"/>
    <w:rsid w:val="00DD73B5"/>
    <w:rsid w:val="00F83CFB"/>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77"/>
    <w:pPr>
      <w:ind w:left="720"/>
      <w:contextualSpacing/>
    </w:pPr>
  </w:style>
  <w:style w:type="paragraph" w:styleId="NormalWeb">
    <w:name w:val="Normal (Web)"/>
    <w:basedOn w:val="Normal"/>
    <w:uiPriority w:val="99"/>
    <w:unhideWhenUsed/>
    <w:rsid w:val="00821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C717C"/>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CC717C"/>
    <w:rPr>
      <w:rFonts w:ascii="Calibri" w:eastAsia="Times New Roman" w:hAnsi="Calibri" w:cs="Calibri"/>
      <w:sz w:val="20"/>
      <w:szCs w:val="20"/>
      <w:lang w:eastAsia="en-US"/>
    </w:rPr>
  </w:style>
  <w:style w:type="paragraph" w:styleId="BalloonText">
    <w:name w:val="Balloon Text"/>
    <w:basedOn w:val="Normal"/>
    <w:link w:val="BalloonTextChar"/>
    <w:uiPriority w:val="99"/>
    <w:semiHidden/>
    <w:unhideWhenUsed/>
    <w:rsid w:val="00CC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7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77"/>
    <w:pPr>
      <w:ind w:left="720"/>
      <w:contextualSpacing/>
    </w:pPr>
  </w:style>
  <w:style w:type="paragraph" w:styleId="NormalWeb">
    <w:name w:val="Normal (Web)"/>
    <w:basedOn w:val="Normal"/>
    <w:uiPriority w:val="99"/>
    <w:unhideWhenUsed/>
    <w:rsid w:val="00821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C717C"/>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CC717C"/>
    <w:rPr>
      <w:rFonts w:ascii="Calibri" w:eastAsia="Times New Roman" w:hAnsi="Calibri" w:cs="Calibri"/>
      <w:sz w:val="20"/>
      <w:szCs w:val="20"/>
      <w:lang w:eastAsia="en-US"/>
    </w:rPr>
  </w:style>
  <w:style w:type="paragraph" w:styleId="BalloonText">
    <w:name w:val="Balloon Text"/>
    <w:basedOn w:val="Normal"/>
    <w:link w:val="BalloonTextChar"/>
    <w:uiPriority w:val="99"/>
    <w:semiHidden/>
    <w:unhideWhenUsed/>
    <w:rsid w:val="00CC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7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Valeria Buric</cp:lastModifiedBy>
  <cp:revision>2</cp:revision>
  <dcterms:created xsi:type="dcterms:W3CDTF">2019-05-06T06:04:00Z</dcterms:created>
  <dcterms:modified xsi:type="dcterms:W3CDTF">2019-05-06T06:04:00Z</dcterms:modified>
</cp:coreProperties>
</file>