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0D6" w:rsidRPr="00007710" w:rsidRDefault="003110D6" w:rsidP="000511BC">
      <w:pPr>
        <w:rPr>
          <w:rFonts w:ascii="Arial" w:hAnsi="Arial" w:cs="Arial"/>
          <w:sz w:val="28"/>
          <w:szCs w:val="28"/>
          <w:lang w:val="ro-RO"/>
        </w:rPr>
      </w:pPr>
    </w:p>
    <w:p w:rsidR="00555509" w:rsidRPr="00007710" w:rsidRDefault="00555509" w:rsidP="000511BC">
      <w:pPr>
        <w:rPr>
          <w:rFonts w:ascii="Arial" w:hAnsi="Arial" w:cs="Arial"/>
          <w:sz w:val="28"/>
          <w:szCs w:val="28"/>
          <w:lang w:val="ro-RO"/>
        </w:rPr>
      </w:pPr>
    </w:p>
    <w:p w:rsidR="00555509" w:rsidRPr="00007710" w:rsidRDefault="00555509" w:rsidP="00555509">
      <w:pPr>
        <w:jc w:val="right"/>
        <w:rPr>
          <w:rFonts w:ascii="Arial" w:hAnsi="Arial" w:cs="Arial"/>
          <w:b/>
          <w:sz w:val="28"/>
          <w:szCs w:val="28"/>
          <w:lang w:val="ro-RO"/>
        </w:rPr>
      </w:pPr>
      <w:r w:rsidRPr="00007710">
        <w:rPr>
          <w:rFonts w:ascii="Arial" w:hAnsi="Arial" w:cs="Arial"/>
          <w:b/>
          <w:sz w:val="28"/>
          <w:szCs w:val="28"/>
          <w:lang w:val="ro-RO"/>
        </w:rPr>
        <w:t>Anexa 5</w:t>
      </w:r>
    </w:p>
    <w:p w:rsidR="00555509" w:rsidRPr="00007710" w:rsidRDefault="00555509" w:rsidP="000511BC">
      <w:pPr>
        <w:rPr>
          <w:rFonts w:ascii="Arial" w:hAnsi="Arial" w:cs="Arial"/>
          <w:sz w:val="28"/>
          <w:szCs w:val="28"/>
          <w:lang w:val="ro-RO"/>
        </w:rPr>
      </w:pPr>
    </w:p>
    <w:p w:rsidR="00840EE9" w:rsidRPr="00007710" w:rsidRDefault="00840EE9" w:rsidP="003F07DF">
      <w:pPr>
        <w:pStyle w:val="ListParagraph"/>
        <w:ind w:left="0"/>
        <w:jc w:val="both"/>
        <w:rPr>
          <w:rFonts w:ascii="Arial" w:hAnsi="Arial" w:cs="Arial"/>
          <w:sz w:val="28"/>
          <w:szCs w:val="28"/>
        </w:rPr>
      </w:pPr>
    </w:p>
    <w:p w:rsidR="003A698C" w:rsidRDefault="003A698C" w:rsidP="00D7327F">
      <w:pPr>
        <w:jc w:val="both"/>
        <w:rPr>
          <w:rFonts w:ascii="Arial" w:hAnsi="Arial" w:cs="Arial"/>
          <w:b/>
          <w:sz w:val="28"/>
          <w:szCs w:val="28"/>
          <w:lang w:val="ro-RO"/>
        </w:rPr>
      </w:pPr>
    </w:p>
    <w:p w:rsidR="00D7327F" w:rsidRPr="00D7327F" w:rsidRDefault="00270F07" w:rsidP="00D7327F">
      <w:pPr>
        <w:jc w:val="both"/>
        <w:rPr>
          <w:rFonts w:ascii="Arial" w:hAnsi="Arial" w:cs="Arial"/>
          <w:b/>
          <w:sz w:val="26"/>
          <w:szCs w:val="26"/>
          <w:lang w:val="ro-RO"/>
        </w:rPr>
      </w:pPr>
      <w:r>
        <w:rPr>
          <w:rFonts w:ascii="Arial" w:hAnsi="Arial" w:cs="Arial"/>
          <w:b/>
          <w:sz w:val="28"/>
          <w:szCs w:val="28"/>
          <w:lang w:val="ro-RO"/>
        </w:rPr>
        <w:t>1</w:t>
      </w:r>
      <w:r w:rsidR="00D7327F" w:rsidRPr="00D7327F">
        <w:rPr>
          <w:rFonts w:ascii="Arial" w:hAnsi="Arial" w:cs="Arial"/>
          <w:b/>
          <w:sz w:val="28"/>
          <w:szCs w:val="28"/>
          <w:lang w:val="ro-RO"/>
        </w:rPr>
        <w:t xml:space="preserve">. </w:t>
      </w:r>
      <w:r w:rsidR="00D7327F" w:rsidRPr="00D7327F">
        <w:rPr>
          <w:rFonts w:ascii="Arial" w:hAnsi="Arial" w:cs="Arial"/>
          <w:b/>
          <w:sz w:val="28"/>
          <w:szCs w:val="28"/>
          <w:u w:val="thick"/>
          <w:lang w:val="ro-RO"/>
        </w:rPr>
        <w:t>Departamentul de control al finanțării partidelor politice și a campaniilor electorale</w:t>
      </w:r>
      <w:r w:rsidR="00D7327F" w:rsidRPr="00D7327F">
        <w:rPr>
          <w:rFonts w:ascii="Arial" w:hAnsi="Arial" w:cs="Arial"/>
          <w:b/>
          <w:sz w:val="28"/>
          <w:szCs w:val="28"/>
          <w:lang w:val="ro-RO"/>
        </w:rPr>
        <w:t xml:space="preserve"> </w:t>
      </w:r>
    </w:p>
    <w:p w:rsidR="00D7327F" w:rsidRDefault="00D7327F" w:rsidP="00D7327F">
      <w:pPr>
        <w:ind w:left="720"/>
        <w:jc w:val="both"/>
        <w:rPr>
          <w:rFonts w:ascii="Arial" w:hAnsi="Arial" w:cs="Arial"/>
          <w:b/>
          <w:sz w:val="26"/>
          <w:szCs w:val="26"/>
          <w:lang w:val="ro-RO"/>
        </w:rPr>
      </w:pPr>
    </w:p>
    <w:p w:rsidR="00D7327F" w:rsidRPr="002106AB" w:rsidRDefault="00D7327F" w:rsidP="00D7327F">
      <w:pPr>
        <w:ind w:left="720"/>
        <w:jc w:val="both"/>
        <w:rPr>
          <w:rFonts w:ascii="Arial" w:hAnsi="Arial" w:cs="Arial"/>
          <w:b/>
          <w:sz w:val="26"/>
          <w:szCs w:val="26"/>
          <w:lang w:val="ro-RO"/>
        </w:rPr>
      </w:pPr>
    </w:p>
    <w:p w:rsidR="00D7327F" w:rsidRPr="002106AB" w:rsidRDefault="00270F07" w:rsidP="00D7327F">
      <w:pPr>
        <w:numPr>
          <w:ilvl w:val="1"/>
          <w:numId w:val="1"/>
        </w:numPr>
        <w:jc w:val="both"/>
        <w:rPr>
          <w:rFonts w:ascii="Arial" w:hAnsi="Arial" w:cs="Arial"/>
          <w:b/>
          <w:sz w:val="28"/>
          <w:szCs w:val="28"/>
          <w:lang w:val="ro-RO"/>
        </w:rPr>
      </w:pPr>
      <w:r>
        <w:rPr>
          <w:rFonts w:ascii="Arial" w:hAnsi="Arial" w:cs="Arial"/>
          <w:b/>
          <w:sz w:val="28"/>
          <w:szCs w:val="28"/>
          <w:lang w:val="ro-RO"/>
        </w:rPr>
        <w:t>1</w:t>
      </w:r>
      <w:r w:rsidR="00D7327F" w:rsidRPr="002106AB">
        <w:rPr>
          <w:rFonts w:ascii="Arial" w:hAnsi="Arial" w:cs="Arial"/>
          <w:b/>
          <w:sz w:val="28"/>
          <w:szCs w:val="28"/>
          <w:lang w:val="ro-RO"/>
        </w:rPr>
        <w:t xml:space="preserve"> funcţi</w:t>
      </w:r>
      <w:r>
        <w:rPr>
          <w:rFonts w:ascii="Arial" w:hAnsi="Arial" w:cs="Arial"/>
          <w:b/>
          <w:sz w:val="28"/>
          <w:szCs w:val="28"/>
          <w:lang w:val="ro-RO"/>
        </w:rPr>
        <w:t>e</w:t>
      </w:r>
      <w:r w:rsidR="00D7327F" w:rsidRPr="002106AB">
        <w:rPr>
          <w:rFonts w:ascii="Arial" w:hAnsi="Arial" w:cs="Arial"/>
          <w:b/>
          <w:sz w:val="28"/>
          <w:szCs w:val="28"/>
          <w:lang w:val="ro-RO"/>
        </w:rPr>
        <w:t xml:space="preserve"> public</w:t>
      </w:r>
      <w:r>
        <w:rPr>
          <w:rFonts w:ascii="Arial" w:hAnsi="Arial" w:cs="Arial"/>
          <w:b/>
          <w:sz w:val="28"/>
          <w:szCs w:val="28"/>
          <w:lang w:val="ro-RO"/>
        </w:rPr>
        <w:t>ă</w:t>
      </w:r>
      <w:r w:rsidR="00D7327F" w:rsidRPr="002106AB">
        <w:rPr>
          <w:rFonts w:ascii="Arial" w:hAnsi="Arial" w:cs="Arial"/>
          <w:b/>
          <w:sz w:val="28"/>
          <w:szCs w:val="28"/>
          <w:lang w:val="ro-RO"/>
        </w:rPr>
        <w:t xml:space="preserve"> parlamentar</w:t>
      </w:r>
      <w:r>
        <w:rPr>
          <w:rFonts w:ascii="Arial" w:hAnsi="Arial" w:cs="Arial"/>
          <w:b/>
          <w:sz w:val="28"/>
          <w:szCs w:val="28"/>
          <w:lang w:val="ro-RO"/>
        </w:rPr>
        <w:t>ă</w:t>
      </w:r>
      <w:r w:rsidR="00D7327F" w:rsidRPr="002106AB">
        <w:rPr>
          <w:rFonts w:ascii="Arial" w:hAnsi="Arial" w:cs="Arial"/>
          <w:b/>
          <w:sz w:val="28"/>
          <w:szCs w:val="28"/>
          <w:lang w:val="ro-RO"/>
        </w:rPr>
        <w:t xml:space="preserve"> de execuţie de consilier parlamentar, pe perioadă nedeterminată</w:t>
      </w:r>
    </w:p>
    <w:p w:rsidR="00FA75F1" w:rsidRPr="00007710" w:rsidRDefault="00FA75F1" w:rsidP="00D7327F">
      <w:pPr>
        <w:jc w:val="both"/>
        <w:rPr>
          <w:rFonts w:ascii="Arial" w:hAnsi="Arial" w:cs="Arial"/>
          <w:sz w:val="28"/>
          <w:szCs w:val="28"/>
        </w:rPr>
      </w:pPr>
    </w:p>
    <w:p w:rsidR="00FA75F1" w:rsidRPr="00007710" w:rsidRDefault="00FA75F1" w:rsidP="00840EE9">
      <w:pPr>
        <w:pStyle w:val="ListParagraph"/>
        <w:ind w:left="0"/>
        <w:jc w:val="both"/>
        <w:rPr>
          <w:rFonts w:ascii="Arial" w:hAnsi="Arial" w:cs="Arial"/>
          <w:sz w:val="28"/>
          <w:szCs w:val="28"/>
        </w:rPr>
      </w:pPr>
    </w:p>
    <w:p w:rsidR="00F87E61" w:rsidRPr="00007710" w:rsidRDefault="00F87E61" w:rsidP="00F87E61">
      <w:pPr>
        <w:pStyle w:val="ListParagraph"/>
        <w:jc w:val="center"/>
        <w:rPr>
          <w:b/>
          <w:sz w:val="28"/>
          <w:szCs w:val="28"/>
          <w:lang w:val="ro-RO"/>
        </w:rPr>
      </w:pPr>
      <w:r w:rsidRPr="00007710">
        <w:rPr>
          <w:b/>
          <w:sz w:val="28"/>
          <w:szCs w:val="28"/>
          <w:lang w:val="ro-RO"/>
        </w:rPr>
        <w:t xml:space="preserve">TEMATICĂ </w:t>
      </w:r>
      <w:r>
        <w:rPr>
          <w:b/>
          <w:sz w:val="28"/>
          <w:szCs w:val="28"/>
          <w:lang w:val="ro-RO"/>
        </w:rPr>
        <w:t>PENTRU</w:t>
      </w:r>
      <w:r w:rsidRPr="00007710">
        <w:rPr>
          <w:b/>
          <w:sz w:val="28"/>
          <w:szCs w:val="28"/>
          <w:lang w:val="ro-RO"/>
        </w:rPr>
        <w:t xml:space="preserve"> CONCURS</w:t>
      </w:r>
    </w:p>
    <w:p w:rsidR="00F87E61" w:rsidRPr="00007710" w:rsidRDefault="00F87E61" w:rsidP="00F87E61">
      <w:pPr>
        <w:pStyle w:val="Default"/>
        <w:jc w:val="both"/>
        <w:rPr>
          <w:rFonts w:ascii="Times New Roman" w:hAnsi="Times New Roman" w:cs="Times New Roman"/>
          <w:sz w:val="28"/>
          <w:szCs w:val="28"/>
          <w:lang w:val="ro-RO"/>
        </w:rPr>
      </w:pPr>
    </w:p>
    <w:p w:rsidR="00F87E61" w:rsidRPr="00007710" w:rsidRDefault="00F87E61" w:rsidP="00F87E61">
      <w:pPr>
        <w:pStyle w:val="ListParagraph"/>
        <w:numPr>
          <w:ilvl w:val="0"/>
          <w:numId w:val="4"/>
        </w:numPr>
        <w:jc w:val="both"/>
        <w:rPr>
          <w:sz w:val="28"/>
          <w:szCs w:val="28"/>
          <w:lang w:val="ro-RO"/>
        </w:rPr>
      </w:pPr>
      <w:r w:rsidRPr="00007710">
        <w:rPr>
          <w:sz w:val="28"/>
          <w:szCs w:val="28"/>
          <w:lang w:val="ro-RO"/>
        </w:rPr>
        <w:t>Organizarea şi funcţionarea Autorităţii Electorale Permanente</w:t>
      </w:r>
    </w:p>
    <w:p w:rsidR="00F87E61" w:rsidRPr="00007710" w:rsidRDefault="00F87E61" w:rsidP="00F87E61">
      <w:pPr>
        <w:pStyle w:val="ListParagraph"/>
        <w:numPr>
          <w:ilvl w:val="0"/>
          <w:numId w:val="4"/>
        </w:numPr>
        <w:jc w:val="both"/>
        <w:rPr>
          <w:sz w:val="28"/>
          <w:szCs w:val="28"/>
          <w:lang w:val="ro-RO"/>
        </w:rPr>
      </w:pPr>
      <w:r w:rsidRPr="00007710">
        <w:rPr>
          <w:sz w:val="28"/>
          <w:szCs w:val="28"/>
          <w:lang w:val="ro-RO"/>
        </w:rPr>
        <w:t xml:space="preserve">Prevederi legale privind finanţarea partidelor politice şi a campaniilor electorale: </w:t>
      </w:r>
    </w:p>
    <w:p w:rsidR="00F87E61" w:rsidRPr="00007710" w:rsidRDefault="00F87E61" w:rsidP="00F87E61">
      <w:pPr>
        <w:pStyle w:val="ListParagraph"/>
        <w:ind w:left="1080"/>
        <w:jc w:val="both"/>
        <w:rPr>
          <w:sz w:val="28"/>
          <w:szCs w:val="28"/>
          <w:lang w:val="ro-RO"/>
        </w:rPr>
      </w:pPr>
      <w:r w:rsidRPr="00007710">
        <w:rPr>
          <w:sz w:val="28"/>
          <w:szCs w:val="28"/>
          <w:lang w:val="ro-RO"/>
        </w:rPr>
        <w:tab/>
        <w:t xml:space="preserve">- finanţarea privată </w:t>
      </w:r>
    </w:p>
    <w:p w:rsidR="00F87E61" w:rsidRPr="00007710" w:rsidRDefault="00F87E61" w:rsidP="00F87E61">
      <w:pPr>
        <w:pStyle w:val="ListParagraph"/>
        <w:ind w:left="1080"/>
        <w:jc w:val="both"/>
        <w:rPr>
          <w:sz w:val="28"/>
          <w:szCs w:val="28"/>
          <w:lang w:val="ro-RO"/>
        </w:rPr>
      </w:pPr>
      <w:r w:rsidRPr="00007710">
        <w:rPr>
          <w:sz w:val="28"/>
          <w:szCs w:val="28"/>
          <w:lang w:val="ro-RO"/>
        </w:rPr>
        <w:tab/>
        <w:t xml:space="preserve">- finanţarea publică </w:t>
      </w:r>
    </w:p>
    <w:p w:rsidR="00F87E61" w:rsidRPr="00007710" w:rsidRDefault="00F87E61" w:rsidP="00F87E61">
      <w:pPr>
        <w:pStyle w:val="ListParagraph"/>
        <w:ind w:left="1080"/>
        <w:jc w:val="both"/>
        <w:rPr>
          <w:sz w:val="28"/>
          <w:szCs w:val="28"/>
          <w:lang w:val="ro-RO"/>
        </w:rPr>
      </w:pPr>
      <w:r w:rsidRPr="00007710">
        <w:rPr>
          <w:sz w:val="28"/>
          <w:szCs w:val="28"/>
          <w:lang w:val="ro-RO"/>
        </w:rPr>
        <w:tab/>
        <w:t xml:space="preserve">- finanţarea în timpul campaniei electorale </w:t>
      </w:r>
    </w:p>
    <w:p w:rsidR="00F87E61" w:rsidRPr="00007710" w:rsidRDefault="00F87E61" w:rsidP="00F87E61">
      <w:pPr>
        <w:pStyle w:val="ListParagraph"/>
        <w:ind w:left="1080"/>
        <w:jc w:val="both"/>
        <w:rPr>
          <w:sz w:val="28"/>
          <w:szCs w:val="28"/>
          <w:lang w:val="ro-RO"/>
        </w:rPr>
      </w:pPr>
      <w:r w:rsidRPr="00007710">
        <w:rPr>
          <w:sz w:val="28"/>
          <w:szCs w:val="28"/>
          <w:lang w:val="ro-RO"/>
        </w:rPr>
        <w:tab/>
        <w:t>- procedura şi metodologia controlului finanţării partidelor politice şi a campaniilor electorale</w:t>
      </w:r>
    </w:p>
    <w:p w:rsidR="00F87E61" w:rsidRPr="00007710" w:rsidRDefault="00F87E61" w:rsidP="00F87E61">
      <w:pPr>
        <w:pStyle w:val="ListParagraph"/>
        <w:numPr>
          <w:ilvl w:val="0"/>
          <w:numId w:val="4"/>
        </w:numPr>
        <w:jc w:val="both"/>
        <w:rPr>
          <w:sz w:val="28"/>
          <w:szCs w:val="28"/>
          <w:lang w:val="ro-RO"/>
        </w:rPr>
      </w:pPr>
      <w:r w:rsidRPr="00007710">
        <w:rPr>
          <w:sz w:val="28"/>
          <w:szCs w:val="28"/>
          <w:lang w:val="ro-RO"/>
        </w:rPr>
        <w:t>Reguli europene privind finanţarea partidelor politice şi a campaniilor electorale</w:t>
      </w:r>
    </w:p>
    <w:p w:rsidR="00F87E61" w:rsidRPr="00007710" w:rsidRDefault="00F87E61" w:rsidP="00F87E61">
      <w:pPr>
        <w:pStyle w:val="ListParagraph"/>
        <w:numPr>
          <w:ilvl w:val="0"/>
          <w:numId w:val="4"/>
        </w:numPr>
        <w:jc w:val="both"/>
        <w:rPr>
          <w:sz w:val="28"/>
          <w:szCs w:val="28"/>
          <w:lang w:val="ro-RO"/>
        </w:rPr>
      </w:pPr>
      <w:r w:rsidRPr="00007710">
        <w:rPr>
          <w:sz w:val="28"/>
          <w:szCs w:val="28"/>
          <w:lang w:val="ro-RO"/>
        </w:rPr>
        <w:t>Organizarea şi desfăşurarea alegerilor în România</w:t>
      </w:r>
    </w:p>
    <w:p w:rsidR="00F87E61" w:rsidRPr="00007710" w:rsidRDefault="00F87E61" w:rsidP="00F87E61">
      <w:pPr>
        <w:pStyle w:val="ListParagraph"/>
        <w:numPr>
          <w:ilvl w:val="0"/>
          <w:numId w:val="4"/>
        </w:numPr>
        <w:jc w:val="both"/>
        <w:rPr>
          <w:sz w:val="28"/>
          <w:szCs w:val="28"/>
          <w:lang w:val="ro-RO"/>
        </w:rPr>
      </w:pPr>
      <w:r w:rsidRPr="00007710">
        <w:rPr>
          <w:sz w:val="28"/>
          <w:szCs w:val="28"/>
          <w:lang w:val="ro-RO"/>
        </w:rPr>
        <w:t xml:space="preserve">Constatarea şi aplicarea sancţiunilor contravenţionale </w:t>
      </w:r>
    </w:p>
    <w:p w:rsidR="00F87E61" w:rsidRPr="00552AF8" w:rsidRDefault="00F87E61" w:rsidP="00F87E61">
      <w:pPr>
        <w:pStyle w:val="Default"/>
        <w:numPr>
          <w:ilvl w:val="0"/>
          <w:numId w:val="4"/>
        </w:numPr>
        <w:jc w:val="both"/>
        <w:rPr>
          <w:rFonts w:ascii="Times New Roman" w:hAnsi="Times New Roman" w:cs="Times New Roman"/>
          <w:sz w:val="28"/>
          <w:szCs w:val="28"/>
          <w:lang w:val="ro-RO"/>
        </w:rPr>
      </w:pPr>
      <w:r w:rsidRPr="003B19B0">
        <w:rPr>
          <w:rFonts w:ascii="Times New Roman" w:hAnsi="Times New Roman" w:cs="Times New Roman"/>
          <w:sz w:val="28"/>
          <w:szCs w:val="28"/>
          <w:lang w:val="ro-RO"/>
        </w:rPr>
        <w:t>Drepturile, obligaţiile şi răspunderea disciplinară a funcţionarului public parlamentar</w:t>
      </w:r>
    </w:p>
    <w:p w:rsidR="00F87E61" w:rsidRPr="00007710" w:rsidRDefault="00F87E61" w:rsidP="00F87E61">
      <w:pPr>
        <w:pStyle w:val="Default"/>
        <w:ind w:left="720"/>
        <w:jc w:val="both"/>
        <w:rPr>
          <w:rFonts w:ascii="Times New Roman" w:hAnsi="Times New Roman" w:cs="Times New Roman"/>
          <w:sz w:val="28"/>
          <w:szCs w:val="28"/>
          <w:lang w:val="ro-RO"/>
        </w:rPr>
      </w:pPr>
    </w:p>
    <w:p w:rsidR="00F87E61" w:rsidRDefault="00F87E61" w:rsidP="00F87E61">
      <w:pPr>
        <w:ind w:left="360"/>
        <w:jc w:val="center"/>
        <w:rPr>
          <w:b/>
          <w:sz w:val="28"/>
          <w:szCs w:val="28"/>
          <w:lang w:val="ro-RO"/>
        </w:rPr>
      </w:pPr>
      <w:r w:rsidRPr="00007710">
        <w:rPr>
          <w:b/>
          <w:sz w:val="28"/>
          <w:szCs w:val="28"/>
          <w:lang w:val="ro-RO"/>
        </w:rPr>
        <w:t xml:space="preserve">BIBLIOGRAFIE </w:t>
      </w:r>
      <w:r>
        <w:rPr>
          <w:b/>
          <w:sz w:val="28"/>
          <w:szCs w:val="28"/>
          <w:lang w:val="ro-RO"/>
        </w:rPr>
        <w:t>PENTRU</w:t>
      </w:r>
      <w:r w:rsidRPr="00007710">
        <w:rPr>
          <w:b/>
          <w:sz w:val="28"/>
          <w:szCs w:val="28"/>
          <w:lang w:val="ro-RO"/>
        </w:rPr>
        <w:t xml:space="preserve"> CONCURS</w:t>
      </w:r>
    </w:p>
    <w:p w:rsidR="00F87E61" w:rsidRPr="00007710" w:rsidRDefault="00F87E61" w:rsidP="00F87E61">
      <w:pPr>
        <w:ind w:left="360"/>
        <w:jc w:val="center"/>
        <w:rPr>
          <w:b/>
          <w:sz w:val="28"/>
          <w:szCs w:val="28"/>
          <w:lang w:val="ro-RO"/>
        </w:rPr>
      </w:pPr>
    </w:p>
    <w:p w:rsidR="00F87E61" w:rsidRPr="00CA54CC" w:rsidRDefault="00F87E61" w:rsidP="00F87E61">
      <w:pPr>
        <w:pStyle w:val="ListParagraph"/>
        <w:numPr>
          <w:ilvl w:val="0"/>
          <w:numId w:val="5"/>
        </w:numPr>
        <w:jc w:val="both"/>
        <w:rPr>
          <w:color w:val="000000" w:themeColor="text1"/>
          <w:sz w:val="28"/>
          <w:szCs w:val="28"/>
          <w:lang w:val="ro-RO"/>
        </w:rPr>
      </w:pPr>
      <w:r w:rsidRPr="00CA54CC">
        <w:rPr>
          <w:color w:val="000000" w:themeColor="text1"/>
          <w:sz w:val="28"/>
          <w:szCs w:val="28"/>
          <w:lang w:val="ro-RO"/>
        </w:rPr>
        <w:t>Hotărârea nr. 4/2016 privind aprobarea Regulamentului de organizare şi funcţionare a Autorităţii Electorale Permanente şi a Centrului „Expert electoral”,  publicată în Monitorul Oficial nr. 486 din 29 iunie 2016</w:t>
      </w:r>
    </w:p>
    <w:p w:rsidR="00F87E61" w:rsidRPr="00007710" w:rsidRDefault="00F87E61" w:rsidP="00F87E61">
      <w:pPr>
        <w:numPr>
          <w:ilvl w:val="0"/>
          <w:numId w:val="5"/>
        </w:numPr>
        <w:jc w:val="both"/>
        <w:rPr>
          <w:sz w:val="28"/>
          <w:szCs w:val="28"/>
          <w:lang w:val="ro-RO"/>
        </w:rPr>
      </w:pPr>
      <w:r w:rsidRPr="00007710">
        <w:rPr>
          <w:sz w:val="28"/>
          <w:szCs w:val="28"/>
          <w:lang w:val="ro-RO"/>
        </w:rPr>
        <w:t>Legea nr. 7/2006 privind statutul funcţionarului public parlamentar, republicată, cu modificările şi completările ulterioare;</w:t>
      </w:r>
    </w:p>
    <w:p w:rsidR="00F87E61" w:rsidRPr="00007710" w:rsidRDefault="00F87E61" w:rsidP="00F87E61">
      <w:pPr>
        <w:pStyle w:val="ListParagraph"/>
        <w:numPr>
          <w:ilvl w:val="0"/>
          <w:numId w:val="5"/>
        </w:numPr>
        <w:jc w:val="both"/>
        <w:rPr>
          <w:rFonts w:eastAsiaTheme="minorHAnsi"/>
          <w:sz w:val="28"/>
          <w:szCs w:val="28"/>
          <w:lang w:val="ro-RO"/>
        </w:rPr>
      </w:pPr>
      <w:r w:rsidRPr="00007710">
        <w:rPr>
          <w:rFonts w:eastAsiaTheme="minorHAnsi"/>
          <w:sz w:val="28"/>
          <w:szCs w:val="28"/>
          <w:lang w:val="ro-RO"/>
        </w:rPr>
        <w:t>Legea nr. 208/2015 privind alegerea Senatului şi a Camerei Deputaţilor, precum şi pentru organizarea şi funcţionarea Autorităţii Electorale Permanente</w:t>
      </w:r>
      <w:r>
        <w:rPr>
          <w:rFonts w:eastAsiaTheme="minorHAnsi"/>
          <w:sz w:val="28"/>
          <w:szCs w:val="28"/>
          <w:lang w:val="ro-RO"/>
        </w:rPr>
        <w:t xml:space="preserve">, </w:t>
      </w:r>
      <w:r w:rsidRPr="00007710">
        <w:rPr>
          <w:sz w:val="28"/>
          <w:szCs w:val="28"/>
          <w:lang w:val="ro-RO"/>
        </w:rPr>
        <w:t>cu modificările şi completările ulterioare;</w:t>
      </w:r>
    </w:p>
    <w:p w:rsidR="00F87E61" w:rsidRPr="00007710" w:rsidRDefault="00F87E61" w:rsidP="00F87E61">
      <w:pPr>
        <w:numPr>
          <w:ilvl w:val="0"/>
          <w:numId w:val="5"/>
        </w:numPr>
        <w:jc w:val="both"/>
        <w:rPr>
          <w:sz w:val="28"/>
          <w:szCs w:val="28"/>
          <w:lang w:val="ro-RO"/>
        </w:rPr>
      </w:pPr>
      <w:r w:rsidRPr="00007710">
        <w:rPr>
          <w:sz w:val="28"/>
          <w:szCs w:val="28"/>
          <w:lang w:val="ro-RO"/>
        </w:rPr>
        <w:t>Legea nr. 370/2004 pentru alegerea Preşedintelui României, republicată, cu modificările şi completările ulterioare;</w:t>
      </w:r>
    </w:p>
    <w:p w:rsidR="00F87E61" w:rsidRPr="00CA54CC" w:rsidRDefault="00F87E61" w:rsidP="00F87E61">
      <w:pPr>
        <w:numPr>
          <w:ilvl w:val="0"/>
          <w:numId w:val="5"/>
        </w:numPr>
        <w:jc w:val="both"/>
        <w:rPr>
          <w:sz w:val="28"/>
          <w:szCs w:val="28"/>
          <w:lang w:val="ro-RO"/>
        </w:rPr>
      </w:pPr>
      <w:r w:rsidRPr="00007710">
        <w:rPr>
          <w:rFonts w:eastAsiaTheme="minorHAnsi"/>
          <w:sz w:val="28"/>
          <w:szCs w:val="28"/>
          <w:lang w:val="ro-RO"/>
        </w:rPr>
        <w:t xml:space="preserve">Legea nr. 115/2015 pentru alegerea autorităţilor administraţiei publice locale, pentru modificarea Legii administraţiei publice locale nr. 215/2001, </w:t>
      </w:r>
      <w:r w:rsidRPr="00007710">
        <w:rPr>
          <w:rFonts w:eastAsiaTheme="minorHAnsi"/>
          <w:sz w:val="28"/>
          <w:szCs w:val="28"/>
          <w:lang w:val="ro-RO"/>
        </w:rPr>
        <w:lastRenderedPageBreak/>
        <w:t>precum şi pentru modificarea şi completarea Legii nr. 393/2004 privind Statutul aleşilor locali</w:t>
      </w:r>
      <w:r>
        <w:rPr>
          <w:rFonts w:eastAsiaTheme="minorHAnsi"/>
          <w:sz w:val="28"/>
          <w:szCs w:val="28"/>
          <w:lang w:val="ro-RO"/>
        </w:rPr>
        <w:t>,</w:t>
      </w:r>
      <w:r w:rsidRPr="00CA54CC">
        <w:rPr>
          <w:sz w:val="28"/>
          <w:szCs w:val="28"/>
          <w:lang w:val="ro-RO"/>
        </w:rPr>
        <w:t xml:space="preserve"> </w:t>
      </w:r>
      <w:r w:rsidRPr="00007710">
        <w:rPr>
          <w:sz w:val="28"/>
          <w:szCs w:val="28"/>
          <w:lang w:val="ro-RO"/>
        </w:rPr>
        <w:t>cu modificările şi completările ulterioare;</w:t>
      </w:r>
    </w:p>
    <w:p w:rsidR="00F87E61" w:rsidRPr="00007710" w:rsidRDefault="00F87E61" w:rsidP="00F87E61">
      <w:pPr>
        <w:pStyle w:val="ListParagraph"/>
        <w:numPr>
          <w:ilvl w:val="0"/>
          <w:numId w:val="5"/>
        </w:numPr>
        <w:jc w:val="both"/>
        <w:rPr>
          <w:sz w:val="28"/>
          <w:szCs w:val="28"/>
          <w:lang w:val="ro-RO"/>
        </w:rPr>
      </w:pPr>
      <w:r w:rsidRPr="00007710">
        <w:rPr>
          <w:sz w:val="28"/>
          <w:szCs w:val="28"/>
          <w:lang w:val="ro-RO"/>
        </w:rPr>
        <w:t>Legea nr. 33/2007 privind organizarea şi desfăşurarea alegerilor pentru Parlamentul European, republicată, cu modificările şi completările ulterioare;</w:t>
      </w:r>
    </w:p>
    <w:p w:rsidR="00F87E61" w:rsidRPr="00007710" w:rsidRDefault="00F87E61" w:rsidP="00F87E61">
      <w:pPr>
        <w:pStyle w:val="ListParagraph"/>
        <w:numPr>
          <w:ilvl w:val="0"/>
          <w:numId w:val="5"/>
        </w:numPr>
        <w:jc w:val="both"/>
        <w:rPr>
          <w:sz w:val="28"/>
          <w:szCs w:val="28"/>
          <w:lang w:val="ro-RO"/>
        </w:rPr>
      </w:pPr>
      <w:r w:rsidRPr="00007710">
        <w:rPr>
          <w:sz w:val="28"/>
          <w:szCs w:val="28"/>
          <w:lang w:val="ro-RO"/>
        </w:rPr>
        <w:t>Legea partidelor politice nr. 14/2003, republicată</w:t>
      </w:r>
      <w:r w:rsidR="00D95345" w:rsidRPr="00007710">
        <w:rPr>
          <w:sz w:val="28"/>
          <w:szCs w:val="28"/>
          <w:lang w:val="ro-RO"/>
        </w:rPr>
        <w:t>, cu modificările şi completările ulterioare</w:t>
      </w:r>
      <w:r w:rsidRPr="00007710">
        <w:rPr>
          <w:sz w:val="28"/>
          <w:szCs w:val="28"/>
          <w:lang w:val="ro-RO"/>
        </w:rPr>
        <w:t>;</w:t>
      </w:r>
      <w:r w:rsidR="00D95345">
        <w:rPr>
          <w:sz w:val="28"/>
          <w:szCs w:val="28"/>
          <w:lang w:val="ro-RO"/>
        </w:rPr>
        <w:t xml:space="preserve"> </w:t>
      </w:r>
    </w:p>
    <w:p w:rsidR="00F87E61" w:rsidRPr="00007710" w:rsidRDefault="00F87E61" w:rsidP="00F87E61">
      <w:pPr>
        <w:pStyle w:val="ListParagraph"/>
        <w:numPr>
          <w:ilvl w:val="0"/>
          <w:numId w:val="5"/>
        </w:numPr>
        <w:jc w:val="both"/>
        <w:rPr>
          <w:sz w:val="28"/>
          <w:szCs w:val="28"/>
          <w:lang w:val="ro-RO"/>
        </w:rPr>
      </w:pPr>
      <w:r w:rsidRPr="00007710">
        <w:rPr>
          <w:sz w:val="28"/>
          <w:szCs w:val="28"/>
          <w:lang w:val="ro-RO"/>
        </w:rPr>
        <w:t>Ordonanţa Guvernului nr. 2/2001 privind regimul juridic al contravenţiilor, aprobată cu modificări prin Legea nr. 180/2002, cu modificările şi completările ulterioare;</w:t>
      </w:r>
    </w:p>
    <w:p w:rsidR="00F87E61" w:rsidRPr="00007710" w:rsidRDefault="00F87E61" w:rsidP="00F87E61">
      <w:pPr>
        <w:pStyle w:val="ListParagraph"/>
        <w:numPr>
          <w:ilvl w:val="0"/>
          <w:numId w:val="5"/>
        </w:numPr>
        <w:autoSpaceDE w:val="0"/>
        <w:autoSpaceDN w:val="0"/>
        <w:adjustRightInd w:val="0"/>
        <w:jc w:val="both"/>
        <w:rPr>
          <w:rFonts w:eastAsiaTheme="minorHAnsi"/>
          <w:sz w:val="28"/>
          <w:szCs w:val="28"/>
          <w:lang w:val="ro-RO"/>
        </w:rPr>
      </w:pPr>
      <w:r w:rsidRPr="00007710">
        <w:rPr>
          <w:rFonts w:eastAsiaTheme="minorHAnsi"/>
          <w:sz w:val="28"/>
          <w:szCs w:val="28"/>
          <w:lang w:val="ro-RO"/>
        </w:rPr>
        <w:t>Legea nr. 334/2006 privind finanţarea activităţii partidelor politice şi a campaniilor electorale, republicată</w:t>
      </w:r>
      <w:r w:rsidR="00D95345" w:rsidRPr="00007710">
        <w:rPr>
          <w:sz w:val="28"/>
          <w:szCs w:val="28"/>
          <w:lang w:val="ro-RO"/>
        </w:rPr>
        <w:t>, cu modificările şi completările ulterioare</w:t>
      </w:r>
      <w:r w:rsidRPr="00007710">
        <w:rPr>
          <w:rFonts w:eastAsiaTheme="minorHAnsi"/>
          <w:sz w:val="28"/>
          <w:szCs w:val="28"/>
          <w:lang w:val="ro-RO"/>
        </w:rPr>
        <w:t>;</w:t>
      </w:r>
      <w:r w:rsidR="00D95345">
        <w:rPr>
          <w:rFonts w:eastAsiaTheme="minorHAnsi"/>
          <w:sz w:val="28"/>
          <w:szCs w:val="28"/>
          <w:lang w:val="ro-RO"/>
        </w:rPr>
        <w:t xml:space="preserve"> </w:t>
      </w:r>
    </w:p>
    <w:p w:rsidR="00F87E61" w:rsidRPr="00007710" w:rsidRDefault="00F87E61" w:rsidP="00F87E61">
      <w:pPr>
        <w:pStyle w:val="ListParagraph"/>
        <w:numPr>
          <w:ilvl w:val="0"/>
          <w:numId w:val="5"/>
        </w:numPr>
        <w:autoSpaceDE w:val="0"/>
        <w:autoSpaceDN w:val="0"/>
        <w:adjustRightInd w:val="0"/>
        <w:jc w:val="both"/>
        <w:rPr>
          <w:rFonts w:eastAsiaTheme="minorHAnsi"/>
          <w:sz w:val="28"/>
          <w:szCs w:val="28"/>
          <w:lang w:val="ro-RO"/>
        </w:rPr>
      </w:pPr>
      <w:r>
        <w:rPr>
          <w:rFonts w:eastAsiaTheme="minorHAnsi"/>
          <w:sz w:val="28"/>
          <w:szCs w:val="28"/>
          <w:lang w:val="ro-RO"/>
        </w:rPr>
        <w:t xml:space="preserve"> </w:t>
      </w:r>
      <w:r w:rsidRPr="00007710">
        <w:rPr>
          <w:rFonts w:eastAsiaTheme="minorHAnsi"/>
          <w:sz w:val="28"/>
          <w:szCs w:val="28"/>
          <w:lang w:val="ro-RO"/>
        </w:rPr>
        <w:t xml:space="preserve">Hotărârea Guvernului României nr. </w:t>
      </w:r>
      <w:r>
        <w:rPr>
          <w:rFonts w:eastAsiaTheme="minorHAnsi"/>
          <w:sz w:val="28"/>
          <w:szCs w:val="28"/>
          <w:lang w:val="ro-RO"/>
        </w:rPr>
        <w:t>10</w:t>
      </w:r>
      <w:r w:rsidRPr="00007710">
        <w:rPr>
          <w:rFonts w:eastAsiaTheme="minorHAnsi"/>
          <w:sz w:val="28"/>
          <w:szCs w:val="28"/>
          <w:lang w:val="ro-RO"/>
        </w:rPr>
        <w:t>/20</w:t>
      </w:r>
      <w:r>
        <w:rPr>
          <w:rFonts w:eastAsiaTheme="minorHAnsi"/>
          <w:sz w:val="28"/>
          <w:szCs w:val="28"/>
          <w:lang w:val="ro-RO"/>
        </w:rPr>
        <w:t>16</w:t>
      </w:r>
      <w:r w:rsidRPr="00007710">
        <w:rPr>
          <w:rFonts w:eastAsiaTheme="minorHAnsi"/>
          <w:sz w:val="28"/>
          <w:szCs w:val="28"/>
          <w:lang w:val="ro-RO"/>
        </w:rPr>
        <w:t xml:space="preserve"> </w:t>
      </w:r>
      <w:r w:rsidRPr="00007710">
        <w:rPr>
          <w:sz w:val="28"/>
          <w:szCs w:val="28"/>
          <w:lang w:val="ro-RO"/>
        </w:rPr>
        <w:t>pentru aprobarea Normelor metodologice de aplicare a Legii nr. 334/2006 privind finanţarea activităţii partidelor politice şi a campaniilor electorale, cu modificările ulterioare;</w:t>
      </w:r>
    </w:p>
    <w:p w:rsidR="00F87E61" w:rsidRPr="00007710" w:rsidRDefault="00F87E61" w:rsidP="00F87E61">
      <w:pPr>
        <w:pStyle w:val="ListParagraph"/>
        <w:numPr>
          <w:ilvl w:val="0"/>
          <w:numId w:val="5"/>
        </w:numPr>
        <w:autoSpaceDE w:val="0"/>
        <w:autoSpaceDN w:val="0"/>
        <w:adjustRightInd w:val="0"/>
        <w:jc w:val="both"/>
        <w:rPr>
          <w:rFonts w:eastAsiaTheme="minorHAnsi"/>
          <w:sz w:val="28"/>
          <w:szCs w:val="28"/>
          <w:lang w:val="ro-RO"/>
        </w:rPr>
      </w:pPr>
      <w:r>
        <w:t xml:space="preserve"> </w:t>
      </w:r>
      <w:hyperlink r:id="rId6" w:history="1">
        <w:r w:rsidRPr="00007710">
          <w:rPr>
            <w:rStyle w:val="Hyperlink"/>
            <w:sz w:val="28"/>
            <w:szCs w:val="28"/>
            <w:lang w:val="ro-RO"/>
          </w:rPr>
          <w:t>Regulamentul (UE, Euratom) nr. 1141/2014 al Parlamentului European și al Consiliului din 22 octombrie 2014 privind Statutul și finanțarea partidelor politice europene și a fundațiilor politice europene</w:t>
        </w:r>
      </w:hyperlink>
      <w:r w:rsidRPr="00007710">
        <w:rPr>
          <w:sz w:val="28"/>
          <w:szCs w:val="28"/>
          <w:lang w:val="ro-RO"/>
        </w:rPr>
        <w:t>;</w:t>
      </w:r>
    </w:p>
    <w:p w:rsidR="00F87E61" w:rsidRPr="00007710" w:rsidRDefault="00F87E61" w:rsidP="00F87E61">
      <w:pPr>
        <w:pStyle w:val="ListParagraph"/>
        <w:numPr>
          <w:ilvl w:val="0"/>
          <w:numId w:val="5"/>
        </w:numPr>
        <w:autoSpaceDE w:val="0"/>
        <w:autoSpaceDN w:val="0"/>
        <w:adjustRightInd w:val="0"/>
        <w:jc w:val="both"/>
        <w:rPr>
          <w:rFonts w:eastAsiaTheme="minorHAnsi"/>
          <w:sz w:val="28"/>
          <w:szCs w:val="28"/>
          <w:lang w:val="ro-RO"/>
        </w:rPr>
      </w:pPr>
      <w:r>
        <w:t xml:space="preserve"> </w:t>
      </w:r>
      <w:hyperlink r:id="rId7" w:history="1">
        <w:r w:rsidRPr="00007710">
          <w:rPr>
            <w:rStyle w:val="Hyperlink"/>
            <w:sz w:val="28"/>
            <w:szCs w:val="28"/>
            <w:lang w:val="ro-RO"/>
          </w:rPr>
          <w:t>Recomandarea Rec (2003) 4 a Comitetului de Miniștri pentru statele membre cu privire la regulile generale contra corupției în finanțarea partidelor politice și a campaniilor electorale</w:t>
        </w:r>
      </w:hyperlink>
      <w:r w:rsidRPr="00007710">
        <w:rPr>
          <w:sz w:val="28"/>
          <w:szCs w:val="28"/>
          <w:lang w:val="ro-RO"/>
        </w:rPr>
        <w:t>;</w:t>
      </w:r>
    </w:p>
    <w:p w:rsidR="00F87E61" w:rsidRPr="00007710" w:rsidRDefault="00F87E61" w:rsidP="00F87E61">
      <w:pPr>
        <w:pStyle w:val="ListParagraph"/>
        <w:numPr>
          <w:ilvl w:val="0"/>
          <w:numId w:val="5"/>
        </w:numPr>
        <w:jc w:val="both"/>
        <w:rPr>
          <w:sz w:val="28"/>
          <w:szCs w:val="28"/>
          <w:lang w:val="ro-RO"/>
        </w:rPr>
      </w:pPr>
      <w:r>
        <w:rPr>
          <w:sz w:val="28"/>
          <w:szCs w:val="28"/>
          <w:lang w:val="ro-RO"/>
        </w:rPr>
        <w:t xml:space="preserve"> </w:t>
      </w:r>
      <w:r w:rsidRPr="00007710">
        <w:rPr>
          <w:sz w:val="28"/>
          <w:szCs w:val="28"/>
          <w:lang w:val="ro-RO"/>
        </w:rPr>
        <w:t>Legea nr. 677/2001 pentru protecţia persoanelor cu privire la prelucrarea datelor cu caracter personal şi libera circulaţie a acestor date, cu modificările şi completările ulterioare;</w:t>
      </w:r>
    </w:p>
    <w:p w:rsidR="00F87E61" w:rsidRPr="00007710" w:rsidRDefault="00F87E61" w:rsidP="00F87E61">
      <w:pPr>
        <w:jc w:val="both"/>
        <w:rPr>
          <w:b/>
          <w:sz w:val="28"/>
          <w:szCs w:val="28"/>
          <w:lang w:val="ro-RO"/>
        </w:rPr>
      </w:pPr>
    </w:p>
    <w:p w:rsidR="00F87E61" w:rsidRPr="004B5427" w:rsidRDefault="00F87E61" w:rsidP="00F87E61">
      <w:pPr>
        <w:pStyle w:val="ListParagraph"/>
        <w:ind w:left="0"/>
        <w:jc w:val="both"/>
        <w:rPr>
          <w:b/>
          <w:sz w:val="28"/>
          <w:szCs w:val="28"/>
          <w:lang w:val="ro-RO"/>
        </w:rPr>
      </w:pPr>
      <w:r w:rsidRPr="004B5427">
        <w:rPr>
          <w:b/>
          <w:sz w:val="28"/>
          <w:szCs w:val="28"/>
          <w:lang w:val="ro-RO"/>
        </w:rPr>
        <w:t>Se vor studia versiunile actualizate ale actelor normative anterior menţionate.</w:t>
      </w:r>
    </w:p>
    <w:p w:rsidR="00F87E61" w:rsidRDefault="00F87E61" w:rsidP="00F87E61">
      <w:pPr>
        <w:pStyle w:val="ListParagraph"/>
        <w:ind w:left="0"/>
        <w:jc w:val="both"/>
        <w:rPr>
          <w:sz w:val="28"/>
          <w:szCs w:val="28"/>
          <w:lang w:val="ro-RO"/>
        </w:rPr>
      </w:pPr>
    </w:p>
    <w:p w:rsidR="00F87E61" w:rsidRDefault="00F87E61" w:rsidP="00F87E61">
      <w:pPr>
        <w:pStyle w:val="ListParagraph"/>
        <w:ind w:left="0"/>
        <w:jc w:val="both"/>
        <w:rPr>
          <w:sz w:val="28"/>
          <w:szCs w:val="28"/>
          <w:lang w:val="ro-RO"/>
        </w:rPr>
      </w:pPr>
    </w:p>
    <w:p w:rsidR="00F87E61" w:rsidRPr="00007710" w:rsidRDefault="00F87E61" w:rsidP="00F87E61">
      <w:pPr>
        <w:pStyle w:val="ListParagraph"/>
        <w:ind w:left="0"/>
        <w:jc w:val="both"/>
        <w:rPr>
          <w:sz w:val="28"/>
          <w:szCs w:val="28"/>
          <w:lang w:val="ro-RO"/>
        </w:rPr>
      </w:pPr>
    </w:p>
    <w:p w:rsidR="00F87E61" w:rsidRPr="00007710" w:rsidRDefault="00F87E61" w:rsidP="00F87E61">
      <w:pPr>
        <w:pStyle w:val="ListParagraph"/>
        <w:ind w:left="0"/>
        <w:jc w:val="both"/>
      </w:pPr>
      <w:r w:rsidRPr="00007710">
        <w:rPr>
          <w:b/>
        </w:rPr>
        <w:tab/>
      </w:r>
      <w:r w:rsidRPr="00007710">
        <w:rPr>
          <w:b/>
          <w:sz w:val="28"/>
          <w:szCs w:val="28"/>
        </w:rPr>
        <w:t>NOTĂ</w:t>
      </w:r>
      <w:r w:rsidRPr="00007710">
        <w:t xml:space="preserve"> </w:t>
      </w:r>
    </w:p>
    <w:p w:rsidR="00F87E61" w:rsidRPr="00007710" w:rsidRDefault="00F87E61" w:rsidP="00F87E61">
      <w:pPr>
        <w:pStyle w:val="ListParagraph"/>
        <w:ind w:left="0"/>
        <w:jc w:val="both"/>
      </w:pPr>
    </w:p>
    <w:p w:rsidR="00F87E61" w:rsidRPr="00552AF8" w:rsidRDefault="00F87E61" w:rsidP="00F87E61">
      <w:pPr>
        <w:pStyle w:val="ListParagraph"/>
        <w:spacing w:line="360" w:lineRule="auto"/>
        <w:ind w:left="0"/>
        <w:jc w:val="both"/>
        <w:rPr>
          <w:sz w:val="28"/>
          <w:szCs w:val="28"/>
        </w:rPr>
      </w:pPr>
      <w:r w:rsidRPr="00007710">
        <w:tab/>
      </w:r>
      <w:r w:rsidRPr="00552AF8">
        <w:rPr>
          <w:sz w:val="28"/>
          <w:szCs w:val="28"/>
          <w:lang w:val="ro-RO"/>
        </w:rPr>
        <w:t>Lucrările</w:t>
      </w:r>
      <w:r w:rsidRPr="00007710">
        <w:rPr>
          <w:sz w:val="28"/>
          <w:szCs w:val="28"/>
        </w:rPr>
        <w:t xml:space="preserve"> ,,</w:t>
      </w:r>
      <w:hyperlink r:id="rId8" w:history="1">
        <w:r w:rsidRPr="00007710">
          <w:rPr>
            <w:rStyle w:val="Hyperlink"/>
            <w:sz w:val="28"/>
            <w:szCs w:val="28"/>
            <w:lang w:val="ro-RO"/>
          </w:rPr>
          <w:t>Regulamentul (UE, Euratom) nr. 1141/2014 al Parlamentului European și al Consiliului din 22 octombrie 2014 privind Statutul și finanțarea partidelor politice europene și a fundațiilor politice europene</w:t>
        </w:r>
      </w:hyperlink>
      <w:r w:rsidRPr="00007710">
        <w:rPr>
          <w:sz w:val="28"/>
          <w:szCs w:val="28"/>
          <w:lang w:val="ro-RO"/>
        </w:rPr>
        <w:t>” și ,,</w:t>
      </w:r>
      <w:r>
        <w:fldChar w:fldCharType="begin"/>
      </w:r>
      <w:r>
        <w:instrText xml:space="preserve"> HYPERLINK "http://www.roaep.ro/legislatie/wp-content/uploads/2014/05/recomandarea_finantarea_partidelor_politice_rom.pdf" </w:instrText>
      </w:r>
      <w:r>
        <w:fldChar w:fldCharType="separate"/>
      </w:r>
      <w:r w:rsidRPr="00007710">
        <w:rPr>
          <w:rStyle w:val="Hyperlink"/>
          <w:sz w:val="28"/>
          <w:szCs w:val="28"/>
          <w:lang w:val="ro-RO"/>
        </w:rPr>
        <w:t>Recomandarea Rec (2003) 4 a Comitetului de Miniștri pentru statele membre cu privire la regulile generale contra corupției în finanțarea partidelor politice și a campaniilor electorale</w:t>
      </w:r>
      <w:r>
        <w:rPr>
          <w:rStyle w:val="Hyperlink"/>
          <w:sz w:val="28"/>
          <w:szCs w:val="28"/>
          <w:lang w:val="ro-RO"/>
        </w:rPr>
        <w:fldChar w:fldCharType="end"/>
      </w:r>
      <w:r w:rsidRPr="00007710">
        <w:rPr>
          <w:sz w:val="28"/>
          <w:szCs w:val="28"/>
          <w:lang w:val="ro-RO"/>
        </w:rPr>
        <w:t xml:space="preserve">” </w:t>
      </w:r>
      <w:r w:rsidRPr="00007710">
        <w:rPr>
          <w:sz w:val="28"/>
          <w:szCs w:val="28"/>
        </w:rPr>
        <w:t xml:space="preserve">se </w:t>
      </w:r>
      <w:proofErr w:type="spellStart"/>
      <w:r w:rsidRPr="00007710">
        <w:rPr>
          <w:sz w:val="28"/>
          <w:szCs w:val="28"/>
        </w:rPr>
        <w:t>găsesc</w:t>
      </w:r>
      <w:proofErr w:type="spellEnd"/>
      <w:r w:rsidRPr="00007710">
        <w:rPr>
          <w:sz w:val="28"/>
          <w:szCs w:val="28"/>
        </w:rPr>
        <w:t xml:space="preserve"> </w:t>
      </w:r>
      <w:proofErr w:type="spellStart"/>
      <w:r w:rsidRPr="00007710">
        <w:rPr>
          <w:sz w:val="28"/>
          <w:szCs w:val="28"/>
        </w:rPr>
        <w:t>pe</w:t>
      </w:r>
      <w:proofErr w:type="spellEnd"/>
      <w:r w:rsidRPr="00007710">
        <w:rPr>
          <w:sz w:val="28"/>
          <w:szCs w:val="28"/>
        </w:rPr>
        <w:t xml:space="preserve"> site-</w:t>
      </w:r>
      <w:proofErr w:type="spellStart"/>
      <w:r w:rsidRPr="00007710">
        <w:rPr>
          <w:sz w:val="28"/>
          <w:szCs w:val="28"/>
        </w:rPr>
        <w:t>ul</w:t>
      </w:r>
      <w:proofErr w:type="spellEnd"/>
      <w:r w:rsidRPr="00007710">
        <w:rPr>
          <w:sz w:val="28"/>
          <w:szCs w:val="28"/>
        </w:rPr>
        <w:t xml:space="preserve"> </w:t>
      </w:r>
      <w:proofErr w:type="spellStart"/>
      <w:r w:rsidRPr="00007710">
        <w:rPr>
          <w:sz w:val="28"/>
          <w:szCs w:val="28"/>
        </w:rPr>
        <w:t>Autorităţii</w:t>
      </w:r>
      <w:proofErr w:type="spellEnd"/>
      <w:r w:rsidRPr="00007710">
        <w:rPr>
          <w:sz w:val="28"/>
          <w:szCs w:val="28"/>
        </w:rPr>
        <w:t xml:space="preserve"> </w:t>
      </w:r>
      <w:proofErr w:type="spellStart"/>
      <w:r w:rsidRPr="00007710">
        <w:rPr>
          <w:sz w:val="28"/>
          <w:szCs w:val="28"/>
        </w:rPr>
        <w:t>Electorale</w:t>
      </w:r>
      <w:proofErr w:type="spellEnd"/>
      <w:r w:rsidRPr="00007710">
        <w:rPr>
          <w:sz w:val="28"/>
          <w:szCs w:val="28"/>
        </w:rPr>
        <w:t xml:space="preserve"> Permanente, www.roaep.ro, </w:t>
      </w:r>
      <w:proofErr w:type="spellStart"/>
      <w:r w:rsidRPr="00007710">
        <w:rPr>
          <w:sz w:val="28"/>
          <w:szCs w:val="28"/>
        </w:rPr>
        <w:t>în</w:t>
      </w:r>
      <w:proofErr w:type="spellEnd"/>
      <w:r w:rsidRPr="00007710">
        <w:rPr>
          <w:sz w:val="28"/>
          <w:szCs w:val="28"/>
        </w:rPr>
        <w:t xml:space="preserve"> </w:t>
      </w:r>
      <w:proofErr w:type="spellStart"/>
      <w:r w:rsidRPr="00007710">
        <w:rPr>
          <w:sz w:val="28"/>
          <w:szCs w:val="28"/>
        </w:rPr>
        <w:t>calea</w:t>
      </w:r>
      <w:proofErr w:type="spellEnd"/>
      <w:r w:rsidRPr="00007710">
        <w:rPr>
          <w:sz w:val="28"/>
          <w:szCs w:val="28"/>
        </w:rPr>
        <w:t xml:space="preserve"> „</w:t>
      </w:r>
      <w:proofErr w:type="spellStart"/>
      <w:r w:rsidRPr="00007710">
        <w:rPr>
          <w:sz w:val="28"/>
          <w:szCs w:val="28"/>
        </w:rPr>
        <w:t>Legislaţie</w:t>
      </w:r>
      <w:proofErr w:type="spellEnd"/>
      <w:r w:rsidRPr="00007710">
        <w:rPr>
          <w:sz w:val="28"/>
          <w:szCs w:val="28"/>
        </w:rPr>
        <w:t xml:space="preserve"> </w:t>
      </w:r>
      <w:proofErr w:type="spellStart"/>
      <w:r w:rsidRPr="00007710">
        <w:rPr>
          <w:sz w:val="28"/>
          <w:szCs w:val="28"/>
        </w:rPr>
        <w:t>Electorală</w:t>
      </w:r>
      <w:proofErr w:type="spellEnd"/>
      <w:r w:rsidRPr="00007710">
        <w:rPr>
          <w:sz w:val="28"/>
          <w:szCs w:val="28"/>
        </w:rPr>
        <w:t xml:space="preserve"> – </w:t>
      </w:r>
      <w:proofErr w:type="spellStart"/>
      <w:r w:rsidRPr="00007710">
        <w:rPr>
          <w:sz w:val="28"/>
          <w:szCs w:val="28"/>
        </w:rPr>
        <w:t>Accesează</w:t>
      </w:r>
      <w:proofErr w:type="spellEnd"/>
      <w:r w:rsidRPr="00007710">
        <w:rPr>
          <w:sz w:val="28"/>
          <w:szCs w:val="28"/>
        </w:rPr>
        <w:t xml:space="preserve"> site – LEGISLAŢIE ELECTORALĂ – INSTRUMENTE JURIDICE COMUNITARE ŞI INTERNAŢIONALE.</w:t>
      </w:r>
    </w:p>
    <w:p w:rsidR="00D848B3" w:rsidRDefault="00D848B3" w:rsidP="00D848B3">
      <w:pPr>
        <w:ind w:left="1080"/>
        <w:jc w:val="both"/>
        <w:rPr>
          <w:b/>
          <w:sz w:val="28"/>
          <w:szCs w:val="28"/>
          <w:lang w:val="ro-RO"/>
        </w:rPr>
      </w:pPr>
    </w:p>
    <w:p w:rsidR="00F87E61" w:rsidRDefault="00F87E61" w:rsidP="00D848B3">
      <w:pPr>
        <w:ind w:left="1080"/>
        <w:jc w:val="both"/>
        <w:rPr>
          <w:b/>
          <w:sz w:val="28"/>
          <w:szCs w:val="28"/>
          <w:lang w:val="ro-RO"/>
        </w:rPr>
      </w:pPr>
    </w:p>
    <w:p w:rsidR="00F87E61" w:rsidRDefault="00F87E61" w:rsidP="00D848B3">
      <w:pPr>
        <w:ind w:left="1080"/>
        <w:jc w:val="both"/>
        <w:rPr>
          <w:b/>
          <w:sz w:val="28"/>
          <w:szCs w:val="28"/>
          <w:lang w:val="ro-RO"/>
        </w:rPr>
      </w:pPr>
    </w:p>
    <w:p w:rsidR="00F87E61" w:rsidRDefault="00F87E61" w:rsidP="00D848B3">
      <w:pPr>
        <w:ind w:left="1080"/>
        <w:jc w:val="both"/>
        <w:rPr>
          <w:b/>
          <w:sz w:val="28"/>
          <w:szCs w:val="28"/>
          <w:lang w:val="ro-RO"/>
        </w:rPr>
      </w:pPr>
    </w:p>
    <w:p w:rsidR="00F87E61" w:rsidRDefault="00F87E61" w:rsidP="00D848B3">
      <w:pPr>
        <w:ind w:left="1080"/>
        <w:jc w:val="both"/>
        <w:rPr>
          <w:b/>
          <w:sz w:val="28"/>
          <w:szCs w:val="28"/>
          <w:lang w:val="ro-RO"/>
        </w:rPr>
      </w:pPr>
    </w:p>
    <w:p w:rsidR="00FA75F1" w:rsidRPr="00007710" w:rsidRDefault="00FA75F1" w:rsidP="00840EE9">
      <w:pPr>
        <w:pStyle w:val="ListParagraph"/>
        <w:ind w:left="0"/>
        <w:jc w:val="both"/>
        <w:rPr>
          <w:rFonts w:ascii="Arial" w:hAnsi="Arial" w:cs="Arial"/>
          <w:sz w:val="28"/>
          <w:szCs w:val="28"/>
        </w:rPr>
      </w:pPr>
    </w:p>
    <w:p w:rsidR="00D15BF0" w:rsidRPr="00270F07" w:rsidRDefault="00D15BF0" w:rsidP="00270F07">
      <w:pPr>
        <w:pStyle w:val="ListParagraph"/>
        <w:numPr>
          <w:ilvl w:val="0"/>
          <w:numId w:val="1"/>
        </w:numPr>
        <w:tabs>
          <w:tab w:val="clear" w:pos="5889"/>
          <w:tab w:val="num" w:pos="0"/>
        </w:tabs>
        <w:ind w:left="709" w:hanging="283"/>
        <w:jc w:val="both"/>
        <w:rPr>
          <w:rFonts w:ascii="Arial" w:hAnsi="Arial" w:cs="Arial"/>
          <w:b/>
          <w:sz w:val="26"/>
          <w:szCs w:val="26"/>
          <w:u w:val="thick"/>
          <w:lang w:val="ro-RO"/>
        </w:rPr>
      </w:pPr>
      <w:r w:rsidRPr="00270F07">
        <w:rPr>
          <w:rFonts w:ascii="Arial" w:hAnsi="Arial" w:cs="Arial"/>
          <w:b/>
          <w:sz w:val="28"/>
          <w:szCs w:val="28"/>
          <w:u w:val="thick"/>
          <w:lang w:val="ro-RO"/>
        </w:rPr>
        <w:t xml:space="preserve">Direcția juridică şi resurse umane </w:t>
      </w:r>
    </w:p>
    <w:p w:rsidR="00D15BF0" w:rsidRDefault="00D15BF0" w:rsidP="00D15BF0">
      <w:pPr>
        <w:ind w:left="720"/>
        <w:jc w:val="both"/>
        <w:rPr>
          <w:sz w:val="26"/>
          <w:szCs w:val="26"/>
          <w:lang w:val="ro-RO"/>
        </w:rPr>
      </w:pPr>
    </w:p>
    <w:p w:rsidR="00D15BF0" w:rsidRDefault="00D15BF0" w:rsidP="00D15BF0">
      <w:pPr>
        <w:ind w:left="720"/>
        <w:jc w:val="both"/>
        <w:rPr>
          <w:sz w:val="26"/>
          <w:szCs w:val="26"/>
          <w:lang w:val="ro-RO"/>
        </w:rPr>
      </w:pPr>
    </w:p>
    <w:p w:rsidR="00D15BF0" w:rsidRPr="002106AB" w:rsidRDefault="00D15BF0" w:rsidP="00270F07">
      <w:pPr>
        <w:numPr>
          <w:ilvl w:val="1"/>
          <w:numId w:val="1"/>
        </w:numPr>
        <w:jc w:val="both"/>
        <w:rPr>
          <w:rFonts w:ascii="Arial" w:hAnsi="Arial" w:cs="Arial"/>
          <w:b/>
          <w:sz w:val="28"/>
          <w:szCs w:val="28"/>
          <w:lang w:val="ro-RO"/>
        </w:rPr>
      </w:pPr>
      <w:r w:rsidRPr="002106AB">
        <w:rPr>
          <w:rFonts w:ascii="Arial" w:hAnsi="Arial" w:cs="Arial"/>
          <w:b/>
          <w:sz w:val="28"/>
          <w:szCs w:val="28"/>
          <w:lang w:val="ro-RO"/>
        </w:rPr>
        <w:t xml:space="preserve">1 funcţie publică parlamentară </w:t>
      </w:r>
      <w:r>
        <w:rPr>
          <w:rFonts w:ascii="Arial" w:hAnsi="Arial" w:cs="Arial"/>
          <w:b/>
          <w:sz w:val="28"/>
          <w:szCs w:val="28"/>
          <w:lang w:val="ro-RO"/>
        </w:rPr>
        <w:t>de execuţie</w:t>
      </w:r>
      <w:r w:rsidRPr="002106AB">
        <w:rPr>
          <w:rFonts w:ascii="Arial" w:hAnsi="Arial" w:cs="Arial"/>
          <w:b/>
          <w:sz w:val="28"/>
          <w:szCs w:val="28"/>
          <w:lang w:val="ro-RO"/>
        </w:rPr>
        <w:t xml:space="preserve"> de </w:t>
      </w:r>
      <w:r>
        <w:rPr>
          <w:rFonts w:ascii="Arial" w:hAnsi="Arial" w:cs="Arial"/>
          <w:b/>
          <w:sz w:val="28"/>
          <w:szCs w:val="28"/>
          <w:lang w:val="ro-RO"/>
        </w:rPr>
        <w:t>consilier parlamentar</w:t>
      </w:r>
      <w:r w:rsidRPr="002106AB">
        <w:rPr>
          <w:rFonts w:ascii="Arial" w:hAnsi="Arial" w:cs="Arial"/>
          <w:b/>
          <w:sz w:val="28"/>
          <w:szCs w:val="28"/>
          <w:lang w:val="ro-RO"/>
        </w:rPr>
        <w:t>, pe perioadă nedeterminată</w:t>
      </w:r>
    </w:p>
    <w:p w:rsidR="00D15BF0" w:rsidRDefault="00D15BF0" w:rsidP="00D15BF0">
      <w:pPr>
        <w:pStyle w:val="ListParagraph"/>
        <w:ind w:left="0"/>
        <w:jc w:val="both"/>
        <w:rPr>
          <w:rFonts w:ascii="Arial" w:hAnsi="Arial" w:cs="Arial"/>
          <w:b/>
          <w:sz w:val="28"/>
          <w:szCs w:val="28"/>
          <w:lang w:val="ro-RO"/>
        </w:rPr>
      </w:pPr>
    </w:p>
    <w:p w:rsidR="00D15BF0" w:rsidRDefault="00D15BF0" w:rsidP="00D15BF0">
      <w:pPr>
        <w:pStyle w:val="ListParagraph"/>
        <w:ind w:left="0"/>
        <w:jc w:val="both"/>
        <w:rPr>
          <w:rFonts w:ascii="Arial" w:hAnsi="Arial" w:cs="Arial"/>
          <w:b/>
          <w:sz w:val="28"/>
          <w:szCs w:val="28"/>
          <w:lang w:val="ro-RO"/>
        </w:rPr>
      </w:pPr>
    </w:p>
    <w:p w:rsidR="00D15BF0" w:rsidRPr="00007710" w:rsidRDefault="00D15BF0" w:rsidP="00D15BF0">
      <w:pPr>
        <w:pStyle w:val="ListParagraph"/>
        <w:ind w:left="0"/>
        <w:jc w:val="both"/>
        <w:rPr>
          <w:rFonts w:ascii="Arial" w:hAnsi="Arial" w:cs="Arial"/>
          <w:b/>
          <w:sz w:val="28"/>
          <w:szCs w:val="28"/>
          <w:lang w:val="ro-RO"/>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jc w:val="center"/>
        <w:rPr>
          <w:b/>
          <w:sz w:val="28"/>
          <w:szCs w:val="28"/>
          <w:lang w:val="ro-RO"/>
        </w:rPr>
      </w:pPr>
      <w:r w:rsidRPr="00007710">
        <w:rPr>
          <w:b/>
          <w:sz w:val="28"/>
          <w:szCs w:val="28"/>
          <w:lang w:val="ro-RO"/>
        </w:rPr>
        <w:t>TEMATIC</w:t>
      </w:r>
      <w:r w:rsidR="005516D6">
        <w:rPr>
          <w:b/>
          <w:sz w:val="28"/>
          <w:szCs w:val="28"/>
          <w:lang w:val="ro-RO"/>
        </w:rPr>
        <w:t>A</w:t>
      </w:r>
      <w:r w:rsidRPr="00007710">
        <w:rPr>
          <w:b/>
          <w:sz w:val="28"/>
          <w:szCs w:val="28"/>
          <w:lang w:val="ro-RO"/>
        </w:rPr>
        <w:t xml:space="preserve"> </w:t>
      </w:r>
      <w:r w:rsidR="005516D6">
        <w:rPr>
          <w:b/>
          <w:sz w:val="28"/>
          <w:szCs w:val="28"/>
          <w:lang w:val="ro-RO"/>
        </w:rPr>
        <w:t>PENTRU</w:t>
      </w:r>
      <w:r w:rsidRPr="00007710">
        <w:rPr>
          <w:b/>
          <w:sz w:val="28"/>
          <w:szCs w:val="28"/>
          <w:lang w:val="ro-RO"/>
        </w:rPr>
        <w:t xml:space="preserve"> CONCURS</w:t>
      </w:r>
    </w:p>
    <w:p w:rsidR="00D15BF0" w:rsidRDefault="00D15BF0" w:rsidP="00D15BF0">
      <w:pPr>
        <w:pStyle w:val="ListParagraph"/>
        <w:jc w:val="center"/>
        <w:rPr>
          <w:b/>
          <w:sz w:val="28"/>
          <w:szCs w:val="28"/>
          <w:lang w:val="ro-RO"/>
        </w:rPr>
      </w:pPr>
    </w:p>
    <w:p w:rsidR="00D15BF0" w:rsidRPr="00007710" w:rsidRDefault="00D15BF0" w:rsidP="00D15BF0">
      <w:pPr>
        <w:pStyle w:val="ListParagraph"/>
        <w:jc w:val="center"/>
        <w:rPr>
          <w:b/>
          <w:sz w:val="28"/>
          <w:szCs w:val="28"/>
          <w:lang w:val="ro-RO"/>
        </w:rPr>
      </w:pPr>
    </w:p>
    <w:p w:rsidR="005516D6" w:rsidRDefault="005516D6" w:rsidP="005516D6">
      <w:pPr>
        <w:pStyle w:val="ListParagraph"/>
        <w:numPr>
          <w:ilvl w:val="0"/>
          <w:numId w:val="20"/>
        </w:numPr>
        <w:jc w:val="both"/>
        <w:rPr>
          <w:sz w:val="28"/>
          <w:szCs w:val="28"/>
          <w:lang w:val="ro-RO"/>
        </w:rPr>
      </w:pPr>
      <w:r>
        <w:rPr>
          <w:sz w:val="28"/>
          <w:szCs w:val="28"/>
          <w:lang w:val="ro-RO"/>
        </w:rPr>
        <w:t>Organizarea şi desfăşurarea alegerilor parlamentare din România</w:t>
      </w:r>
    </w:p>
    <w:p w:rsidR="005516D6" w:rsidRDefault="005516D6" w:rsidP="005516D6">
      <w:pPr>
        <w:pStyle w:val="ListParagraph"/>
        <w:numPr>
          <w:ilvl w:val="0"/>
          <w:numId w:val="20"/>
        </w:numPr>
        <w:jc w:val="both"/>
        <w:rPr>
          <w:sz w:val="28"/>
          <w:szCs w:val="28"/>
          <w:lang w:val="ro-RO"/>
        </w:rPr>
      </w:pPr>
      <w:r>
        <w:rPr>
          <w:sz w:val="28"/>
          <w:szCs w:val="28"/>
          <w:lang w:val="ro-RO"/>
        </w:rPr>
        <w:t>Statutul funcţionarului public parlamentar</w:t>
      </w:r>
    </w:p>
    <w:p w:rsidR="005516D6" w:rsidRDefault="005516D6" w:rsidP="005516D6">
      <w:pPr>
        <w:pStyle w:val="ListParagraph"/>
        <w:numPr>
          <w:ilvl w:val="0"/>
          <w:numId w:val="20"/>
        </w:numPr>
        <w:jc w:val="both"/>
        <w:rPr>
          <w:sz w:val="28"/>
          <w:szCs w:val="28"/>
          <w:lang w:val="ro-RO"/>
        </w:rPr>
      </w:pPr>
      <w:r>
        <w:rPr>
          <w:sz w:val="28"/>
          <w:szCs w:val="28"/>
          <w:lang w:val="ro-RO"/>
        </w:rPr>
        <w:t xml:space="preserve">Drepturile, obligaţiile şi răspunderea disciplinară a funcţionarului public parlamentar </w:t>
      </w:r>
    </w:p>
    <w:p w:rsidR="005516D6" w:rsidRDefault="005516D6" w:rsidP="005516D6">
      <w:pPr>
        <w:pStyle w:val="ListParagraph"/>
        <w:numPr>
          <w:ilvl w:val="0"/>
          <w:numId w:val="20"/>
        </w:numPr>
        <w:jc w:val="both"/>
        <w:rPr>
          <w:sz w:val="28"/>
          <w:szCs w:val="28"/>
          <w:lang w:val="ro-RO"/>
        </w:rPr>
      </w:pPr>
      <w:r>
        <w:rPr>
          <w:sz w:val="28"/>
          <w:szCs w:val="28"/>
          <w:lang w:val="ro-RO"/>
        </w:rPr>
        <w:t>Organizarea și funcționarea Autorității Electorale Permanente</w:t>
      </w:r>
    </w:p>
    <w:p w:rsidR="005516D6" w:rsidRDefault="005516D6" w:rsidP="005516D6">
      <w:pPr>
        <w:pStyle w:val="ListParagraph"/>
        <w:numPr>
          <w:ilvl w:val="0"/>
          <w:numId w:val="20"/>
        </w:numPr>
        <w:jc w:val="both"/>
        <w:rPr>
          <w:sz w:val="28"/>
          <w:szCs w:val="28"/>
          <w:lang w:val="ro-RO"/>
        </w:rPr>
      </w:pPr>
      <w:r>
        <w:rPr>
          <w:sz w:val="28"/>
          <w:szCs w:val="28"/>
          <w:lang w:val="ro-RO"/>
        </w:rPr>
        <w:t xml:space="preserve">Salarizarea în sistemul bugetar     </w:t>
      </w:r>
    </w:p>
    <w:p w:rsidR="005516D6" w:rsidRDefault="005516D6" w:rsidP="005516D6">
      <w:pPr>
        <w:pStyle w:val="ListParagraph"/>
        <w:numPr>
          <w:ilvl w:val="0"/>
          <w:numId w:val="20"/>
        </w:numPr>
        <w:jc w:val="both"/>
        <w:rPr>
          <w:sz w:val="28"/>
          <w:szCs w:val="28"/>
          <w:lang w:val="ro-RO"/>
        </w:rPr>
      </w:pPr>
      <w:r>
        <w:rPr>
          <w:sz w:val="28"/>
          <w:szCs w:val="28"/>
          <w:lang w:val="ro-RO"/>
        </w:rPr>
        <w:t xml:space="preserve">Soluţionarea petiţiilor </w:t>
      </w:r>
    </w:p>
    <w:p w:rsidR="005516D6" w:rsidRDefault="005516D6" w:rsidP="005516D6">
      <w:pPr>
        <w:pStyle w:val="ListParagraph"/>
        <w:numPr>
          <w:ilvl w:val="0"/>
          <w:numId w:val="20"/>
        </w:numPr>
        <w:jc w:val="both"/>
        <w:rPr>
          <w:sz w:val="28"/>
          <w:szCs w:val="28"/>
          <w:lang w:val="ro-RO"/>
        </w:rPr>
      </w:pPr>
      <w:r>
        <w:rPr>
          <w:sz w:val="28"/>
          <w:szCs w:val="28"/>
          <w:lang w:val="ro-RO"/>
        </w:rPr>
        <w:t>Accesul la informaţiile de interes public</w:t>
      </w:r>
    </w:p>
    <w:p w:rsidR="005516D6" w:rsidRDefault="005516D6" w:rsidP="005516D6">
      <w:pPr>
        <w:pStyle w:val="ListParagraph"/>
        <w:numPr>
          <w:ilvl w:val="0"/>
          <w:numId w:val="20"/>
        </w:numPr>
        <w:jc w:val="both"/>
        <w:rPr>
          <w:sz w:val="28"/>
          <w:szCs w:val="28"/>
          <w:lang w:val="ro-RO"/>
        </w:rPr>
      </w:pPr>
      <w:r>
        <w:rPr>
          <w:sz w:val="28"/>
          <w:szCs w:val="28"/>
          <w:lang w:val="ro-RO"/>
        </w:rPr>
        <w:t xml:space="preserve">Statutul personalului angajat în baza unui contract individual de muncă </w:t>
      </w:r>
    </w:p>
    <w:p w:rsidR="005516D6" w:rsidRDefault="005516D6" w:rsidP="005516D6">
      <w:pPr>
        <w:pStyle w:val="ListParagraph"/>
        <w:numPr>
          <w:ilvl w:val="0"/>
          <w:numId w:val="20"/>
        </w:numPr>
        <w:jc w:val="both"/>
        <w:rPr>
          <w:sz w:val="28"/>
          <w:szCs w:val="28"/>
          <w:lang w:val="ro-RO"/>
        </w:rPr>
      </w:pPr>
      <w:r>
        <w:rPr>
          <w:sz w:val="28"/>
          <w:szCs w:val="28"/>
          <w:lang w:val="ro-RO"/>
        </w:rPr>
        <w:t>Operarea în Registrul general de evidenţă a salariaţilor (REVISAL)</w:t>
      </w:r>
    </w:p>
    <w:p w:rsidR="005516D6" w:rsidRDefault="005516D6" w:rsidP="005516D6">
      <w:pPr>
        <w:pStyle w:val="ListParagraph"/>
        <w:numPr>
          <w:ilvl w:val="0"/>
          <w:numId w:val="20"/>
        </w:numPr>
        <w:jc w:val="both"/>
        <w:rPr>
          <w:sz w:val="28"/>
          <w:szCs w:val="28"/>
          <w:lang w:val="ro-RO"/>
        </w:rPr>
      </w:pPr>
      <w:r>
        <w:rPr>
          <w:sz w:val="28"/>
          <w:szCs w:val="28"/>
          <w:lang w:val="ro-RO"/>
        </w:rPr>
        <w:t xml:space="preserve"> Protecţia datelor cu caracter personal</w:t>
      </w:r>
    </w:p>
    <w:p w:rsidR="005516D6" w:rsidRDefault="005516D6" w:rsidP="005516D6">
      <w:pPr>
        <w:ind w:left="720"/>
        <w:jc w:val="both"/>
        <w:rPr>
          <w:sz w:val="28"/>
          <w:szCs w:val="28"/>
          <w:lang w:val="ro-RO"/>
        </w:rPr>
      </w:pPr>
    </w:p>
    <w:p w:rsidR="005516D6" w:rsidRDefault="005516D6" w:rsidP="005516D6">
      <w:pPr>
        <w:ind w:left="720"/>
        <w:jc w:val="both"/>
        <w:rPr>
          <w:sz w:val="28"/>
          <w:szCs w:val="28"/>
          <w:lang w:val="ro-RO"/>
        </w:rPr>
      </w:pPr>
    </w:p>
    <w:p w:rsidR="005516D6" w:rsidRDefault="005516D6" w:rsidP="005516D6">
      <w:pPr>
        <w:ind w:left="360"/>
        <w:jc w:val="both"/>
        <w:rPr>
          <w:sz w:val="28"/>
          <w:szCs w:val="28"/>
          <w:lang w:val="ro-RO"/>
        </w:rPr>
      </w:pPr>
    </w:p>
    <w:p w:rsidR="005516D6" w:rsidRDefault="005516D6" w:rsidP="005516D6">
      <w:pPr>
        <w:ind w:left="360"/>
        <w:jc w:val="both"/>
        <w:rPr>
          <w:sz w:val="28"/>
          <w:szCs w:val="28"/>
          <w:lang w:val="ro-RO"/>
        </w:rPr>
      </w:pPr>
    </w:p>
    <w:p w:rsidR="005516D6" w:rsidRDefault="005516D6" w:rsidP="005516D6">
      <w:pPr>
        <w:pStyle w:val="ListParagraph"/>
        <w:jc w:val="center"/>
        <w:rPr>
          <w:b/>
          <w:sz w:val="28"/>
          <w:szCs w:val="28"/>
          <w:lang w:val="ro-RO"/>
        </w:rPr>
      </w:pPr>
      <w:r w:rsidRPr="00007710">
        <w:rPr>
          <w:b/>
          <w:sz w:val="28"/>
          <w:szCs w:val="28"/>
          <w:lang w:val="ro-RO"/>
        </w:rPr>
        <w:t>BIBLIOGRAFI</w:t>
      </w:r>
      <w:r>
        <w:rPr>
          <w:b/>
          <w:sz w:val="28"/>
          <w:szCs w:val="28"/>
          <w:lang w:val="ro-RO"/>
        </w:rPr>
        <w:t>A</w:t>
      </w:r>
      <w:r w:rsidRPr="00007710">
        <w:rPr>
          <w:b/>
          <w:sz w:val="28"/>
          <w:szCs w:val="28"/>
          <w:lang w:val="ro-RO"/>
        </w:rPr>
        <w:t xml:space="preserve"> </w:t>
      </w:r>
      <w:r>
        <w:rPr>
          <w:b/>
          <w:sz w:val="28"/>
          <w:szCs w:val="28"/>
          <w:lang w:val="ro-RO"/>
        </w:rPr>
        <w:t>PENTRU</w:t>
      </w:r>
      <w:r w:rsidRPr="00007710">
        <w:rPr>
          <w:b/>
          <w:sz w:val="28"/>
          <w:szCs w:val="28"/>
          <w:lang w:val="ro-RO"/>
        </w:rPr>
        <w:t xml:space="preserve"> CONCURS</w:t>
      </w:r>
    </w:p>
    <w:p w:rsidR="005516D6" w:rsidRDefault="005516D6" w:rsidP="005516D6">
      <w:pPr>
        <w:jc w:val="both"/>
        <w:rPr>
          <w:b/>
          <w:sz w:val="28"/>
          <w:szCs w:val="28"/>
          <w:lang w:val="ro-RO"/>
        </w:rPr>
      </w:pPr>
    </w:p>
    <w:p w:rsidR="005516D6" w:rsidRDefault="005516D6" w:rsidP="005516D6">
      <w:pPr>
        <w:jc w:val="both"/>
        <w:rPr>
          <w:b/>
          <w:sz w:val="28"/>
          <w:szCs w:val="28"/>
          <w:lang w:val="ro-RO"/>
        </w:rPr>
      </w:pP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1.</w:t>
      </w:r>
      <w:r>
        <w:rPr>
          <w:rFonts w:eastAsiaTheme="minorHAnsi"/>
          <w:sz w:val="28"/>
          <w:szCs w:val="28"/>
          <w:lang w:val="ro-RO"/>
        </w:rPr>
        <w:t xml:space="preserve"> Legea nr. 208 din 20 iulie 2015 privind alegerea Senatului şi a Camerei Deputaţilor, precum şi pentru organizarea şi funcţionarea Autorităţii Electorale Permanente, cu modificările și completările ulterioare;</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2.</w:t>
      </w:r>
      <w:r>
        <w:rPr>
          <w:rFonts w:eastAsiaTheme="minorHAnsi"/>
          <w:sz w:val="28"/>
          <w:szCs w:val="28"/>
          <w:lang w:val="ro-RO"/>
        </w:rPr>
        <w:t xml:space="preserve"> Legea nr. 7 din 11 ianuarie 2006 privind statutul funcţionarului public parlamentar, republicată, cu modificările și completările ulterioare;</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3.</w:t>
      </w:r>
      <w:r>
        <w:rPr>
          <w:rFonts w:eastAsiaTheme="minorHAnsi"/>
          <w:sz w:val="28"/>
          <w:szCs w:val="28"/>
          <w:lang w:val="ro-RO"/>
        </w:rPr>
        <w:t xml:space="preserve"> Hotărâre nr. 4/2016 din 22 iunie 2016 privind aprobarea Regulamentului de organizare şi funcţionare a Autorităţii Electorale Permanente şi a Centrului "Expert electoral";</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 xml:space="preserve">4. </w:t>
      </w:r>
      <w:r>
        <w:rPr>
          <w:rFonts w:eastAsiaTheme="minorHAnsi"/>
          <w:sz w:val="28"/>
          <w:szCs w:val="28"/>
          <w:lang w:val="ro-RO"/>
        </w:rPr>
        <w:t>Legea-cadru nr. 284 din 28 decembrie 2010 privind salarizarea unitară a personalului plătit din fonduri publice, cu modificările și completările ulterioare;</w:t>
      </w:r>
    </w:p>
    <w:p w:rsidR="005516D6" w:rsidRDefault="005516D6" w:rsidP="005516D6">
      <w:pPr>
        <w:autoSpaceDE w:val="0"/>
        <w:autoSpaceDN w:val="0"/>
        <w:adjustRightInd w:val="0"/>
        <w:jc w:val="both"/>
        <w:rPr>
          <w:rFonts w:eastAsiaTheme="minorHAnsi"/>
          <w:sz w:val="28"/>
          <w:szCs w:val="28"/>
        </w:rPr>
      </w:pPr>
      <w:r>
        <w:rPr>
          <w:rFonts w:eastAsiaTheme="minorHAnsi"/>
          <w:b/>
          <w:sz w:val="28"/>
          <w:szCs w:val="28"/>
          <w:lang w:val="ro-RO"/>
        </w:rPr>
        <w:lastRenderedPageBreak/>
        <w:t>5.</w:t>
      </w:r>
      <w:r>
        <w:rPr>
          <w:rFonts w:eastAsiaTheme="minorHAnsi"/>
          <w:sz w:val="28"/>
          <w:szCs w:val="28"/>
          <w:lang w:val="ro-RO"/>
        </w:rPr>
        <w:t xml:space="preserve"> Legea nr. 544 </w:t>
      </w:r>
      <w:r>
        <w:rPr>
          <w:rFonts w:eastAsiaTheme="minorHAnsi"/>
          <w:sz w:val="28"/>
          <w:szCs w:val="28"/>
        </w:rPr>
        <w:t xml:space="preserve">din 12 </w:t>
      </w:r>
      <w:r>
        <w:rPr>
          <w:rFonts w:eastAsiaTheme="minorHAnsi"/>
          <w:sz w:val="28"/>
          <w:szCs w:val="28"/>
          <w:lang w:val="ro-RO"/>
        </w:rPr>
        <w:t>octombrie</w:t>
      </w:r>
      <w:r>
        <w:rPr>
          <w:rFonts w:eastAsiaTheme="minorHAnsi"/>
          <w:sz w:val="28"/>
          <w:szCs w:val="28"/>
        </w:rPr>
        <w:t xml:space="preserve"> 2001 </w:t>
      </w:r>
      <w:r>
        <w:rPr>
          <w:rFonts w:eastAsiaTheme="minorHAnsi"/>
          <w:sz w:val="28"/>
          <w:szCs w:val="28"/>
          <w:lang w:val="ro-RO"/>
        </w:rPr>
        <w:t>privind liberul acces la informaţiile de interes public, cu modificările și completările ulterioare;</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 xml:space="preserve">6. </w:t>
      </w:r>
      <w:r>
        <w:rPr>
          <w:rFonts w:eastAsiaTheme="minorHAnsi"/>
          <w:sz w:val="28"/>
          <w:szCs w:val="28"/>
          <w:lang w:val="ro-RO"/>
        </w:rPr>
        <w:t>Ordonanţă nr. 27 din 30 ianuarie 2002 privind reglementarea activităţii de soluţionare a petiţiilor, cu modificările și completările ulterioare;</w:t>
      </w:r>
    </w:p>
    <w:p w:rsidR="005516D6" w:rsidRDefault="005516D6" w:rsidP="00D95345">
      <w:pPr>
        <w:autoSpaceDE w:val="0"/>
        <w:autoSpaceDN w:val="0"/>
        <w:adjustRightInd w:val="0"/>
        <w:jc w:val="both"/>
        <w:rPr>
          <w:rFonts w:eastAsiaTheme="minorHAnsi"/>
          <w:sz w:val="28"/>
          <w:szCs w:val="28"/>
          <w:lang w:val="ro-RO"/>
        </w:rPr>
      </w:pPr>
      <w:r>
        <w:rPr>
          <w:rFonts w:eastAsiaTheme="minorHAnsi"/>
          <w:b/>
          <w:sz w:val="28"/>
          <w:szCs w:val="28"/>
        </w:rPr>
        <w:t xml:space="preserve">7. </w:t>
      </w:r>
      <w:r>
        <w:rPr>
          <w:rFonts w:eastAsiaTheme="minorHAnsi"/>
          <w:sz w:val="28"/>
          <w:szCs w:val="28"/>
          <w:lang w:val="ro-RO"/>
        </w:rPr>
        <w:t>Legea nr. 544/2001</w:t>
      </w:r>
      <w:proofErr w:type="spellStart"/>
      <w:r w:rsidR="00D95345">
        <w:rPr>
          <w:rFonts w:eastAsiaTheme="minorHAnsi"/>
          <w:sz w:val="28"/>
          <w:szCs w:val="28"/>
        </w:rPr>
        <w:t>privind</w:t>
      </w:r>
      <w:proofErr w:type="spellEnd"/>
      <w:r w:rsidR="00D95345">
        <w:rPr>
          <w:rFonts w:eastAsiaTheme="minorHAnsi"/>
          <w:sz w:val="28"/>
          <w:szCs w:val="28"/>
        </w:rPr>
        <w:t xml:space="preserve"> </w:t>
      </w:r>
      <w:proofErr w:type="spellStart"/>
      <w:r w:rsidR="00D95345">
        <w:rPr>
          <w:rFonts w:eastAsiaTheme="minorHAnsi"/>
          <w:sz w:val="28"/>
          <w:szCs w:val="28"/>
        </w:rPr>
        <w:t>liberul</w:t>
      </w:r>
      <w:proofErr w:type="spellEnd"/>
      <w:r w:rsidR="00D95345">
        <w:rPr>
          <w:rFonts w:eastAsiaTheme="minorHAnsi"/>
          <w:sz w:val="28"/>
          <w:szCs w:val="28"/>
        </w:rPr>
        <w:t xml:space="preserve"> </w:t>
      </w:r>
      <w:proofErr w:type="spellStart"/>
      <w:r w:rsidR="00D95345">
        <w:rPr>
          <w:rFonts w:eastAsiaTheme="minorHAnsi"/>
          <w:sz w:val="28"/>
          <w:szCs w:val="28"/>
        </w:rPr>
        <w:t>acces</w:t>
      </w:r>
      <w:proofErr w:type="spellEnd"/>
      <w:r w:rsidR="00D95345">
        <w:rPr>
          <w:rFonts w:eastAsiaTheme="minorHAnsi"/>
          <w:sz w:val="28"/>
          <w:szCs w:val="28"/>
        </w:rPr>
        <w:t xml:space="preserve"> la </w:t>
      </w:r>
      <w:proofErr w:type="spellStart"/>
      <w:r w:rsidR="00D95345">
        <w:rPr>
          <w:rFonts w:eastAsiaTheme="minorHAnsi"/>
          <w:sz w:val="28"/>
          <w:szCs w:val="28"/>
        </w:rPr>
        <w:t>informaţiile</w:t>
      </w:r>
      <w:proofErr w:type="spellEnd"/>
      <w:r w:rsidR="00D95345">
        <w:rPr>
          <w:rFonts w:eastAsiaTheme="minorHAnsi"/>
          <w:sz w:val="28"/>
          <w:szCs w:val="28"/>
        </w:rPr>
        <w:t xml:space="preserve"> de </w:t>
      </w:r>
      <w:proofErr w:type="spellStart"/>
      <w:r w:rsidR="00D95345">
        <w:rPr>
          <w:rFonts w:eastAsiaTheme="minorHAnsi"/>
          <w:sz w:val="28"/>
          <w:szCs w:val="28"/>
        </w:rPr>
        <w:t>interes</w:t>
      </w:r>
      <w:proofErr w:type="spellEnd"/>
      <w:r w:rsidR="00D95345">
        <w:rPr>
          <w:rFonts w:eastAsiaTheme="minorHAnsi"/>
          <w:sz w:val="28"/>
          <w:szCs w:val="28"/>
        </w:rPr>
        <w:t xml:space="preserve"> public</w:t>
      </w:r>
      <w:r>
        <w:rPr>
          <w:rFonts w:eastAsiaTheme="minorHAnsi"/>
          <w:sz w:val="28"/>
          <w:szCs w:val="28"/>
          <w:lang w:val="ro-RO"/>
        </w:rPr>
        <w:t>, republicată, cu modificările și completările ulterioare;</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 xml:space="preserve">8. </w:t>
      </w:r>
      <w:r>
        <w:rPr>
          <w:rFonts w:eastAsiaTheme="minorHAnsi"/>
          <w:sz w:val="28"/>
          <w:szCs w:val="28"/>
          <w:lang w:val="ro-RO"/>
        </w:rPr>
        <w:t>Ordonanţă de Urgenţă a Guvernului nr. 57/2015 din 9 decembrie 2015 privind salarizarea personalului plătit din fonduri publice în anul 2016, prorogarea unor termene, precum şi unele măsuri fiscal-bugetare, cu modificările și completările ulterioare;</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9.</w:t>
      </w:r>
      <w:r>
        <w:rPr>
          <w:rFonts w:eastAsiaTheme="minorHAnsi"/>
          <w:sz w:val="28"/>
          <w:szCs w:val="28"/>
          <w:lang w:val="ro-RO"/>
        </w:rPr>
        <w:t xml:space="preserve"> Hotărârea Guvernului nr. 500 din 18 mai 2011 privind registrul general de evidenţă a salariaţilor, cu modificările și completările ulterioare;</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10.</w:t>
      </w:r>
      <w:r>
        <w:rPr>
          <w:rFonts w:eastAsiaTheme="minorHAnsi"/>
          <w:sz w:val="28"/>
          <w:szCs w:val="28"/>
          <w:lang w:val="ro-RO"/>
        </w:rPr>
        <w:t xml:space="preserve"> Hotărârea Guvernului nr. 518 din 10 iulie 1995 privind unele drepturi şi obligaţii ale personalului român trimis în străinătate pentru îndeplinirea unor misiuni cu caracter temporar, cu modificările și completările ulterioare; </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11.</w:t>
      </w:r>
      <w:r>
        <w:rPr>
          <w:rFonts w:eastAsiaTheme="minorHAnsi"/>
          <w:sz w:val="28"/>
          <w:szCs w:val="28"/>
          <w:lang w:val="ro-RO"/>
        </w:rPr>
        <w:t xml:space="preserve"> Hotărârea Guvernului nr. 1860 din 21 decembrie 2006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 </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lang w:val="ro-RO"/>
        </w:rPr>
        <w:t xml:space="preserve">12. </w:t>
      </w:r>
      <w:r>
        <w:rPr>
          <w:rFonts w:eastAsiaTheme="minorHAnsi"/>
          <w:sz w:val="28"/>
          <w:szCs w:val="28"/>
          <w:lang w:val="ro-RO"/>
        </w:rPr>
        <w:t>Lege nr. 188/1999 din 8 decembrie 1999, republicată, cu modificările și completările ulterioare;</w:t>
      </w:r>
    </w:p>
    <w:p w:rsidR="005516D6" w:rsidRDefault="005516D6" w:rsidP="005516D6">
      <w:pPr>
        <w:autoSpaceDE w:val="0"/>
        <w:autoSpaceDN w:val="0"/>
        <w:adjustRightInd w:val="0"/>
        <w:jc w:val="both"/>
        <w:rPr>
          <w:rFonts w:eastAsiaTheme="minorHAnsi"/>
          <w:sz w:val="28"/>
          <w:szCs w:val="28"/>
          <w:lang w:val="ro-RO"/>
        </w:rPr>
      </w:pPr>
      <w:r>
        <w:rPr>
          <w:rFonts w:eastAsiaTheme="minorHAnsi"/>
          <w:b/>
          <w:sz w:val="28"/>
          <w:szCs w:val="28"/>
        </w:rPr>
        <w:t>13.</w:t>
      </w:r>
      <w:r>
        <w:rPr>
          <w:rFonts w:eastAsiaTheme="minorHAnsi"/>
          <w:sz w:val="28"/>
          <w:szCs w:val="28"/>
        </w:rPr>
        <w:t xml:space="preserve"> </w:t>
      </w:r>
      <w:r>
        <w:rPr>
          <w:rFonts w:eastAsiaTheme="minorHAnsi"/>
          <w:sz w:val="28"/>
          <w:szCs w:val="28"/>
          <w:lang w:val="ro-RO"/>
        </w:rPr>
        <w:t xml:space="preserve">Legea nr. 677 din 21 noiembrie 2001 </w:t>
      </w:r>
      <w:r w:rsidR="002116E7" w:rsidRPr="00007710">
        <w:rPr>
          <w:sz w:val="28"/>
          <w:szCs w:val="28"/>
          <w:lang w:val="ro-RO"/>
        </w:rPr>
        <w:t>pentru protecţia persoanelor cu privire la prelucrarea datelor cu caracter personal şi libera circulaţie a acestor date, cu modificările şi completările ulterioare</w:t>
      </w:r>
      <w:r>
        <w:rPr>
          <w:rFonts w:eastAsiaTheme="minorHAnsi"/>
          <w:sz w:val="28"/>
          <w:szCs w:val="28"/>
          <w:lang w:val="ro-RO"/>
        </w:rPr>
        <w:t>.</w:t>
      </w:r>
    </w:p>
    <w:p w:rsidR="005516D6" w:rsidRDefault="005516D6" w:rsidP="005516D6">
      <w:pPr>
        <w:jc w:val="both"/>
        <w:rPr>
          <w:sz w:val="28"/>
          <w:szCs w:val="28"/>
          <w:lang w:val="ro-RO"/>
        </w:rPr>
      </w:pPr>
    </w:p>
    <w:p w:rsidR="00D15BF0" w:rsidRPr="00007710" w:rsidRDefault="00D15BF0" w:rsidP="00D15BF0">
      <w:pPr>
        <w:jc w:val="both"/>
        <w:rPr>
          <w:color w:val="000000" w:themeColor="text1"/>
          <w:lang w:val="ro-RO"/>
        </w:rPr>
      </w:pPr>
    </w:p>
    <w:p w:rsidR="00D15BF0" w:rsidRPr="00007710" w:rsidRDefault="00D15BF0" w:rsidP="00D15BF0">
      <w:pPr>
        <w:jc w:val="both"/>
        <w:rPr>
          <w:color w:val="000000" w:themeColor="text1"/>
          <w:lang w:val="ro-RO"/>
        </w:rPr>
      </w:pPr>
    </w:p>
    <w:p w:rsidR="00D15BF0" w:rsidRPr="00007710" w:rsidRDefault="00D15BF0" w:rsidP="00D15BF0">
      <w:pPr>
        <w:jc w:val="both"/>
        <w:rPr>
          <w:color w:val="000000" w:themeColor="text1"/>
          <w:lang w:val="ro-RO"/>
        </w:rPr>
      </w:pPr>
    </w:p>
    <w:p w:rsidR="00D15BF0" w:rsidRPr="00007710" w:rsidRDefault="00D15BF0" w:rsidP="00D15BF0">
      <w:pPr>
        <w:jc w:val="both"/>
        <w:rPr>
          <w:color w:val="000000" w:themeColor="text1"/>
          <w:lang w:val="ro-RO"/>
        </w:rPr>
      </w:pPr>
    </w:p>
    <w:p w:rsidR="00D15BF0" w:rsidRPr="00007710" w:rsidRDefault="00D15BF0" w:rsidP="00D15BF0">
      <w:pPr>
        <w:jc w:val="both"/>
        <w:rPr>
          <w:color w:val="000000" w:themeColor="text1"/>
          <w:lang w:val="ro-RO"/>
        </w:rPr>
      </w:pPr>
    </w:p>
    <w:p w:rsidR="00D15BF0" w:rsidRPr="00007710" w:rsidRDefault="00D15BF0" w:rsidP="00D15BF0">
      <w:pPr>
        <w:jc w:val="both"/>
        <w:rPr>
          <w:color w:val="000000" w:themeColor="text1"/>
          <w:sz w:val="28"/>
          <w:szCs w:val="28"/>
          <w:lang w:val="ro-RO"/>
        </w:rPr>
      </w:pPr>
    </w:p>
    <w:p w:rsidR="00D15BF0" w:rsidRPr="00007710" w:rsidRDefault="00D15BF0" w:rsidP="00D15BF0">
      <w:pPr>
        <w:jc w:val="both"/>
        <w:rPr>
          <w:rFonts w:cs="Arial"/>
          <w:color w:val="000000" w:themeColor="text1"/>
          <w:lang w:val="ro-RO"/>
        </w:rPr>
      </w:pPr>
    </w:p>
    <w:p w:rsidR="00D15BF0" w:rsidRPr="00007710" w:rsidRDefault="00D15BF0" w:rsidP="00D15BF0">
      <w:pPr>
        <w:jc w:val="both"/>
        <w:rPr>
          <w:rFonts w:cs="Arial"/>
          <w:b/>
          <w:i/>
          <w:color w:val="000000" w:themeColor="text1"/>
          <w:sz w:val="28"/>
          <w:szCs w:val="28"/>
          <w:lang w:val="ro-RO"/>
        </w:rPr>
      </w:pPr>
      <w:r w:rsidRPr="00007710">
        <w:rPr>
          <w:rFonts w:cs="Arial"/>
          <w:b/>
          <w:i/>
          <w:color w:val="000000" w:themeColor="text1"/>
          <w:sz w:val="28"/>
          <w:szCs w:val="28"/>
          <w:lang w:val="ro-RO"/>
        </w:rPr>
        <w:t>Se vor studia versiunile actualizate ale actelor normative anterior menţionate.</w:t>
      </w: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Default="00D15BF0" w:rsidP="00D15BF0">
      <w:pPr>
        <w:pStyle w:val="ListParagraph"/>
        <w:ind w:left="0"/>
        <w:jc w:val="both"/>
        <w:rPr>
          <w:rFonts w:ascii="Arial" w:hAnsi="Arial" w:cs="Arial"/>
          <w:sz w:val="28"/>
          <w:szCs w:val="28"/>
        </w:rPr>
      </w:pPr>
    </w:p>
    <w:p w:rsidR="00D15BF0" w:rsidRPr="00007710" w:rsidRDefault="00D15BF0" w:rsidP="00D15BF0">
      <w:pPr>
        <w:pStyle w:val="ListParagraph"/>
        <w:ind w:left="0"/>
        <w:jc w:val="both"/>
        <w:rPr>
          <w:rFonts w:ascii="Arial" w:hAnsi="Arial" w:cs="Arial"/>
          <w:sz w:val="28"/>
          <w:szCs w:val="28"/>
        </w:rPr>
      </w:pPr>
    </w:p>
    <w:p w:rsidR="00D15BF0" w:rsidRPr="00007710" w:rsidRDefault="00D15BF0" w:rsidP="00D15BF0">
      <w:pPr>
        <w:pStyle w:val="ListParagraph"/>
        <w:ind w:left="0"/>
        <w:jc w:val="both"/>
        <w:rPr>
          <w:sz w:val="28"/>
          <w:szCs w:val="28"/>
          <w:lang w:val="ro-RO"/>
        </w:rPr>
      </w:pPr>
    </w:p>
    <w:p w:rsidR="00FA75F1" w:rsidRPr="00007710" w:rsidRDefault="00FA75F1" w:rsidP="00840EE9">
      <w:pPr>
        <w:pStyle w:val="ListParagraph"/>
        <w:ind w:left="0"/>
        <w:jc w:val="both"/>
        <w:rPr>
          <w:rFonts w:ascii="Arial" w:hAnsi="Arial" w:cs="Arial"/>
          <w:sz w:val="28"/>
          <w:szCs w:val="28"/>
        </w:rPr>
      </w:pPr>
      <w:bookmarkStart w:id="0" w:name="_GoBack"/>
      <w:bookmarkEnd w:id="0"/>
    </w:p>
    <w:sectPr w:rsidR="00FA75F1" w:rsidRPr="00007710" w:rsidSect="0043303E">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FDE"/>
    <w:multiLevelType w:val="hybridMultilevel"/>
    <w:tmpl w:val="94DAF634"/>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CE7299D"/>
    <w:multiLevelType w:val="hybridMultilevel"/>
    <w:tmpl w:val="421ED338"/>
    <w:lvl w:ilvl="0" w:tplc="0409000F">
      <w:start w:val="1"/>
      <w:numFmt w:val="decimal"/>
      <w:lvlText w:val="%1."/>
      <w:lvlJc w:val="left"/>
      <w:pPr>
        <w:tabs>
          <w:tab w:val="num" w:pos="5889"/>
        </w:tabs>
        <w:ind w:left="5889" w:hanging="360"/>
      </w:pPr>
      <w:rPr>
        <w:rFonts w:hint="default"/>
      </w:rPr>
    </w:lvl>
    <w:lvl w:ilvl="1" w:tplc="520894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70655"/>
    <w:multiLevelType w:val="hybridMultilevel"/>
    <w:tmpl w:val="E328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76392"/>
    <w:multiLevelType w:val="hybridMultilevel"/>
    <w:tmpl w:val="63D2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4443C"/>
    <w:multiLevelType w:val="hybridMultilevel"/>
    <w:tmpl w:val="0688F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C5A0E"/>
    <w:multiLevelType w:val="hybridMultilevel"/>
    <w:tmpl w:val="210C47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F5E0DEE"/>
    <w:multiLevelType w:val="hybridMultilevel"/>
    <w:tmpl w:val="43B83DF8"/>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3AB0B2F"/>
    <w:multiLevelType w:val="hybridMultilevel"/>
    <w:tmpl w:val="7B54A88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54E53B1"/>
    <w:multiLevelType w:val="hybridMultilevel"/>
    <w:tmpl w:val="D4AC8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842F51"/>
    <w:multiLevelType w:val="hybridMultilevel"/>
    <w:tmpl w:val="498E4C6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3406761B"/>
    <w:multiLevelType w:val="hybridMultilevel"/>
    <w:tmpl w:val="421ED338"/>
    <w:lvl w:ilvl="0" w:tplc="0409000F">
      <w:start w:val="1"/>
      <w:numFmt w:val="decimal"/>
      <w:lvlText w:val="%1."/>
      <w:lvlJc w:val="left"/>
      <w:pPr>
        <w:tabs>
          <w:tab w:val="num" w:pos="5889"/>
        </w:tabs>
        <w:ind w:left="5889" w:hanging="360"/>
      </w:pPr>
      <w:rPr>
        <w:rFonts w:hint="default"/>
      </w:rPr>
    </w:lvl>
    <w:lvl w:ilvl="1" w:tplc="520894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01630A"/>
    <w:multiLevelType w:val="hybridMultilevel"/>
    <w:tmpl w:val="35BE13C2"/>
    <w:lvl w:ilvl="0" w:tplc="0409000F">
      <w:start w:val="1"/>
      <w:numFmt w:val="decimal"/>
      <w:lvlText w:val="%1."/>
      <w:lvlJc w:val="left"/>
      <w:pPr>
        <w:ind w:left="8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47208"/>
    <w:multiLevelType w:val="hybridMultilevel"/>
    <w:tmpl w:val="9096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D2F22"/>
    <w:multiLevelType w:val="hybridMultilevel"/>
    <w:tmpl w:val="35BE13C2"/>
    <w:lvl w:ilvl="0" w:tplc="0409000F">
      <w:start w:val="1"/>
      <w:numFmt w:val="decimal"/>
      <w:lvlText w:val="%1."/>
      <w:lvlJc w:val="left"/>
      <w:pPr>
        <w:ind w:left="8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43255"/>
    <w:multiLevelType w:val="hybridMultilevel"/>
    <w:tmpl w:val="35BE13C2"/>
    <w:lvl w:ilvl="0" w:tplc="0409000F">
      <w:start w:val="1"/>
      <w:numFmt w:val="decimal"/>
      <w:lvlText w:val="%1."/>
      <w:lvlJc w:val="left"/>
      <w:pPr>
        <w:ind w:left="8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A785F"/>
    <w:multiLevelType w:val="hybridMultilevel"/>
    <w:tmpl w:val="3CEED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9234E3"/>
    <w:multiLevelType w:val="hybridMultilevel"/>
    <w:tmpl w:val="498E4C6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61037C8F"/>
    <w:multiLevelType w:val="hybridMultilevel"/>
    <w:tmpl w:val="AA1450B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nsid w:val="71773F33"/>
    <w:multiLevelType w:val="hybridMultilevel"/>
    <w:tmpl w:val="71903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D5564A"/>
    <w:multiLevelType w:val="hybridMultilevel"/>
    <w:tmpl w:val="421ED338"/>
    <w:lvl w:ilvl="0" w:tplc="0409000F">
      <w:start w:val="1"/>
      <w:numFmt w:val="decimal"/>
      <w:lvlText w:val="%1."/>
      <w:lvlJc w:val="left"/>
      <w:pPr>
        <w:tabs>
          <w:tab w:val="num" w:pos="5889"/>
        </w:tabs>
        <w:ind w:left="5889" w:hanging="360"/>
      </w:pPr>
      <w:rPr>
        <w:rFonts w:hint="default"/>
      </w:rPr>
    </w:lvl>
    <w:lvl w:ilvl="1" w:tplc="520894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8"/>
  </w:num>
  <w:num w:numId="4">
    <w:abstractNumId w:val="6"/>
  </w:num>
  <w:num w:numId="5">
    <w:abstractNumId w:val="13"/>
  </w:num>
  <w:num w:numId="6">
    <w:abstractNumId w:val="14"/>
  </w:num>
  <w:num w:numId="7">
    <w:abstractNumId w:val="16"/>
  </w:num>
  <w:num w:numId="8">
    <w:abstractNumId w:val="9"/>
  </w:num>
  <w:num w:numId="9">
    <w:abstractNumId w:val="11"/>
  </w:num>
  <w:num w:numId="10">
    <w:abstractNumId w:val="12"/>
  </w:num>
  <w:num w:numId="11">
    <w:abstractNumId w:val="0"/>
  </w:num>
  <w:num w:numId="12">
    <w:abstractNumId w:val="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0511BC"/>
    <w:rsid w:val="00007710"/>
    <w:rsid w:val="000511BC"/>
    <w:rsid w:val="00096E32"/>
    <w:rsid w:val="000A2C2D"/>
    <w:rsid w:val="000B0A74"/>
    <w:rsid w:val="000D5C30"/>
    <w:rsid w:val="0011109C"/>
    <w:rsid w:val="001634D0"/>
    <w:rsid w:val="00183B03"/>
    <w:rsid w:val="0020342B"/>
    <w:rsid w:val="00204AD1"/>
    <w:rsid w:val="002116E7"/>
    <w:rsid w:val="002365CE"/>
    <w:rsid w:val="00270F07"/>
    <w:rsid w:val="00294E52"/>
    <w:rsid w:val="002B546E"/>
    <w:rsid w:val="002E4BDC"/>
    <w:rsid w:val="002F3E42"/>
    <w:rsid w:val="00300E3E"/>
    <w:rsid w:val="003110D6"/>
    <w:rsid w:val="00313F9A"/>
    <w:rsid w:val="00337644"/>
    <w:rsid w:val="00337B80"/>
    <w:rsid w:val="003645C6"/>
    <w:rsid w:val="00380F44"/>
    <w:rsid w:val="003A698C"/>
    <w:rsid w:val="003F07DF"/>
    <w:rsid w:val="00400979"/>
    <w:rsid w:val="00410F24"/>
    <w:rsid w:val="004322F3"/>
    <w:rsid w:val="0043303E"/>
    <w:rsid w:val="00441A47"/>
    <w:rsid w:val="00451290"/>
    <w:rsid w:val="004B3C4C"/>
    <w:rsid w:val="004B76E4"/>
    <w:rsid w:val="004C1FA5"/>
    <w:rsid w:val="004C65F3"/>
    <w:rsid w:val="004F062C"/>
    <w:rsid w:val="005042E5"/>
    <w:rsid w:val="005212DE"/>
    <w:rsid w:val="00524911"/>
    <w:rsid w:val="00533DC4"/>
    <w:rsid w:val="005516D6"/>
    <w:rsid w:val="00555509"/>
    <w:rsid w:val="005A26EA"/>
    <w:rsid w:val="00600105"/>
    <w:rsid w:val="00725278"/>
    <w:rsid w:val="007316D6"/>
    <w:rsid w:val="00751CFA"/>
    <w:rsid w:val="00807899"/>
    <w:rsid w:val="008106C4"/>
    <w:rsid w:val="00832816"/>
    <w:rsid w:val="00840EE9"/>
    <w:rsid w:val="00873E75"/>
    <w:rsid w:val="0087506A"/>
    <w:rsid w:val="008D0A34"/>
    <w:rsid w:val="008E77D3"/>
    <w:rsid w:val="0093657E"/>
    <w:rsid w:val="00950D2E"/>
    <w:rsid w:val="00970015"/>
    <w:rsid w:val="009C01F2"/>
    <w:rsid w:val="00A436B0"/>
    <w:rsid w:val="00A91793"/>
    <w:rsid w:val="00A96BE4"/>
    <w:rsid w:val="00AA0FB8"/>
    <w:rsid w:val="00AD1664"/>
    <w:rsid w:val="00AE16B9"/>
    <w:rsid w:val="00AF3293"/>
    <w:rsid w:val="00AF60EE"/>
    <w:rsid w:val="00B33A2B"/>
    <w:rsid w:val="00B42E0B"/>
    <w:rsid w:val="00B432FF"/>
    <w:rsid w:val="00B662EB"/>
    <w:rsid w:val="00B94BCD"/>
    <w:rsid w:val="00BC050E"/>
    <w:rsid w:val="00BD6017"/>
    <w:rsid w:val="00BE3DB4"/>
    <w:rsid w:val="00C05F58"/>
    <w:rsid w:val="00C40117"/>
    <w:rsid w:val="00C60A9B"/>
    <w:rsid w:val="00C85D7A"/>
    <w:rsid w:val="00C945B8"/>
    <w:rsid w:val="00C94881"/>
    <w:rsid w:val="00CA54CC"/>
    <w:rsid w:val="00D15BF0"/>
    <w:rsid w:val="00D17894"/>
    <w:rsid w:val="00D3426F"/>
    <w:rsid w:val="00D41232"/>
    <w:rsid w:val="00D44A78"/>
    <w:rsid w:val="00D63096"/>
    <w:rsid w:val="00D7327F"/>
    <w:rsid w:val="00D848B3"/>
    <w:rsid w:val="00D95345"/>
    <w:rsid w:val="00DA6E0C"/>
    <w:rsid w:val="00DE2F83"/>
    <w:rsid w:val="00E13848"/>
    <w:rsid w:val="00E13F77"/>
    <w:rsid w:val="00E30772"/>
    <w:rsid w:val="00E5771B"/>
    <w:rsid w:val="00E87B74"/>
    <w:rsid w:val="00EB05DF"/>
    <w:rsid w:val="00EC0F81"/>
    <w:rsid w:val="00F2596D"/>
    <w:rsid w:val="00F74101"/>
    <w:rsid w:val="00F77A58"/>
    <w:rsid w:val="00F87E61"/>
    <w:rsid w:val="00F93056"/>
    <w:rsid w:val="00FA4301"/>
    <w:rsid w:val="00FA75F1"/>
    <w:rsid w:val="00FB6D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qFormat/>
    <w:rsid w:val="00524911"/>
    <w:pPr>
      <w:ind w:left="720"/>
      <w:contextualSpacing/>
    </w:pPr>
  </w:style>
  <w:style w:type="paragraph" w:styleId="BalloonText">
    <w:name w:val="Balloon Text"/>
    <w:basedOn w:val="Normal"/>
    <w:link w:val="BalloonTextChar"/>
    <w:uiPriority w:val="99"/>
    <w:semiHidden/>
    <w:unhideWhenUsed/>
    <w:rsid w:val="00337644"/>
    <w:rPr>
      <w:rFonts w:ascii="Tahoma" w:hAnsi="Tahoma" w:cs="Tahoma"/>
      <w:sz w:val="16"/>
      <w:szCs w:val="16"/>
    </w:rPr>
  </w:style>
  <w:style w:type="character" w:customStyle="1" w:styleId="BalloonTextChar">
    <w:name w:val="Balloon Text Char"/>
    <w:basedOn w:val="DefaultParagraphFont"/>
    <w:link w:val="BalloonText"/>
    <w:uiPriority w:val="99"/>
    <w:semiHidden/>
    <w:rsid w:val="00337644"/>
    <w:rPr>
      <w:rFonts w:ascii="Tahoma" w:eastAsia="Times New Roman" w:hAnsi="Tahoma" w:cs="Tahoma"/>
      <w:sz w:val="16"/>
      <w:szCs w:val="16"/>
    </w:rPr>
  </w:style>
  <w:style w:type="paragraph" w:customStyle="1" w:styleId="Default">
    <w:name w:val="Default"/>
    <w:rsid w:val="00A436B0"/>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Default"/>
    <w:next w:val="Default"/>
    <w:uiPriority w:val="99"/>
    <w:rsid w:val="00A436B0"/>
    <w:rPr>
      <w:color w:val="auto"/>
    </w:rPr>
  </w:style>
  <w:style w:type="character" w:styleId="Hyperlink">
    <w:name w:val="Hyperlink"/>
    <w:basedOn w:val="DefaultParagraphFont"/>
    <w:uiPriority w:val="99"/>
    <w:unhideWhenUsed/>
    <w:rsid w:val="0093657E"/>
    <w:rPr>
      <w:color w:val="0000FF" w:themeColor="hyperlink"/>
      <w:u w:val="single"/>
    </w:rPr>
  </w:style>
  <w:style w:type="character" w:customStyle="1" w:styleId="do1">
    <w:name w:val="do1"/>
    <w:basedOn w:val="DefaultParagraphFont"/>
    <w:rsid w:val="00FB6DB1"/>
    <w:rPr>
      <w:b/>
      <w:bCs/>
      <w:sz w:val="26"/>
      <w:szCs w:val="26"/>
    </w:rPr>
  </w:style>
  <w:style w:type="character" w:customStyle="1" w:styleId="ListParagraphChar">
    <w:name w:val="List Paragraph Char"/>
    <w:aliases w:val="lp1 Char,Heading x1 Char"/>
    <w:link w:val="ListParagraph"/>
    <w:locked/>
    <w:rsid w:val="008106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qFormat/>
    <w:rsid w:val="00524911"/>
    <w:pPr>
      <w:ind w:left="720"/>
      <w:contextualSpacing/>
    </w:pPr>
  </w:style>
  <w:style w:type="paragraph" w:styleId="BalloonText">
    <w:name w:val="Balloon Text"/>
    <w:basedOn w:val="Normal"/>
    <w:link w:val="BalloonTextChar"/>
    <w:uiPriority w:val="99"/>
    <w:semiHidden/>
    <w:unhideWhenUsed/>
    <w:rsid w:val="00337644"/>
    <w:rPr>
      <w:rFonts w:ascii="Tahoma" w:hAnsi="Tahoma" w:cs="Tahoma"/>
      <w:sz w:val="16"/>
      <w:szCs w:val="16"/>
    </w:rPr>
  </w:style>
  <w:style w:type="character" w:customStyle="1" w:styleId="BalloonTextChar">
    <w:name w:val="Balloon Text Char"/>
    <w:basedOn w:val="DefaultParagraphFont"/>
    <w:link w:val="BalloonText"/>
    <w:uiPriority w:val="99"/>
    <w:semiHidden/>
    <w:rsid w:val="00337644"/>
    <w:rPr>
      <w:rFonts w:ascii="Tahoma" w:eastAsia="Times New Roman" w:hAnsi="Tahoma" w:cs="Tahoma"/>
      <w:sz w:val="16"/>
      <w:szCs w:val="16"/>
    </w:rPr>
  </w:style>
  <w:style w:type="paragraph" w:customStyle="1" w:styleId="Default">
    <w:name w:val="Default"/>
    <w:rsid w:val="00A436B0"/>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Default"/>
    <w:next w:val="Default"/>
    <w:uiPriority w:val="99"/>
    <w:rsid w:val="00A436B0"/>
    <w:rPr>
      <w:color w:val="auto"/>
    </w:rPr>
  </w:style>
  <w:style w:type="character" w:styleId="Hyperlink">
    <w:name w:val="Hyperlink"/>
    <w:basedOn w:val="DefaultParagraphFont"/>
    <w:uiPriority w:val="99"/>
    <w:unhideWhenUsed/>
    <w:rsid w:val="0093657E"/>
    <w:rPr>
      <w:color w:val="0000FF" w:themeColor="hyperlink"/>
      <w:u w:val="single"/>
    </w:rPr>
  </w:style>
  <w:style w:type="character" w:customStyle="1" w:styleId="do1">
    <w:name w:val="do1"/>
    <w:basedOn w:val="DefaultParagraphFont"/>
    <w:rsid w:val="00FB6DB1"/>
    <w:rPr>
      <w:b/>
      <w:bCs/>
      <w:sz w:val="26"/>
      <w:szCs w:val="26"/>
    </w:rPr>
  </w:style>
  <w:style w:type="character" w:customStyle="1" w:styleId="ListParagraphChar">
    <w:name w:val="List Paragraph Char"/>
    <w:aliases w:val="lp1 Char,Heading x1 Char"/>
    <w:link w:val="ListParagraph"/>
    <w:uiPriority w:val="34"/>
    <w:locked/>
    <w:rsid w:val="008106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ep.ro/legislatie/wp-content/uploads/2015/02/CELEX-32014R1141-RO-TXT.pdf" TargetMode="External"/><Relationship Id="rId3" Type="http://schemas.microsoft.com/office/2007/relationships/stylesWithEffects" Target="stylesWithEffects.xml"/><Relationship Id="rId7" Type="http://schemas.openxmlformats.org/officeDocument/2006/relationships/hyperlink" Target="http://www.roaep.ro/legislatie/wp-content/uploads/2014/05/recomandarea_finantarea_partidelor_politice_ro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ep.ro/legislatie/wp-content/uploads/2015/02/CELEX-32014R1141-RO-TX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Mihaila</dc:creator>
  <cp:lastModifiedBy>Anca Mihaila</cp:lastModifiedBy>
  <cp:revision>18</cp:revision>
  <cp:lastPrinted>2016-07-06T06:12:00Z</cp:lastPrinted>
  <dcterms:created xsi:type="dcterms:W3CDTF">2015-09-24T08:28:00Z</dcterms:created>
  <dcterms:modified xsi:type="dcterms:W3CDTF">2016-09-14T09:09:00Z</dcterms:modified>
</cp:coreProperties>
</file>