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Pr="0048326B" w:rsidRDefault="0048326B" w:rsidP="0048326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8326B">
        <w:rPr>
          <w:rFonts w:ascii="Arial" w:hAnsi="Arial" w:cs="Arial"/>
          <w:b/>
          <w:sz w:val="28"/>
          <w:szCs w:val="28"/>
          <w:u w:val="single"/>
        </w:rPr>
        <w:t>Direcția</w:t>
      </w:r>
      <w:proofErr w:type="spellEnd"/>
      <w:r w:rsidRPr="0048326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8326B">
        <w:rPr>
          <w:rFonts w:ascii="Arial" w:hAnsi="Arial" w:cs="Arial"/>
          <w:b/>
          <w:sz w:val="28"/>
          <w:szCs w:val="28"/>
          <w:u w:val="single"/>
        </w:rPr>
        <w:t>legislație</w:t>
      </w:r>
      <w:proofErr w:type="spellEnd"/>
      <w:r w:rsidRPr="0048326B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48326B">
        <w:rPr>
          <w:rFonts w:ascii="Arial" w:hAnsi="Arial" w:cs="Arial"/>
          <w:b/>
          <w:sz w:val="28"/>
          <w:szCs w:val="28"/>
          <w:u w:val="single"/>
        </w:rPr>
        <w:t>legătura</w:t>
      </w:r>
      <w:proofErr w:type="spellEnd"/>
      <w:r w:rsidRPr="0048326B">
        <w:rPr>
          <w:rFonts w:ascii="Arial" w:hAnsi="Arial" w:cs="Arial"/>
          <w:b/>
          <w:sz w:val="28"/>
          <w:szCs w:val="28"/>
          <w:u w:val="single"/>
        </w:rPr>
        <w:t xml:space="preserve"> cu </w:t>
      </w:r>
      <w:proofErr w:type="spellStart"/>
      <w:r w:rsidRPr="0048326B">
        <w:rPr>
          <w:rFonts w:ascii="Arial" w:hAnsi="Arial" w:cs="Arial"/>
          <w:b/>
          <w:sz w:val="28"/>
          <w:szCs w:val="28"/>
          <w:u w:val="single"/>
        </w:rPr>
        <w:t>Parlamentul</w:t>
      </w:r>
      <w:proofErr w:type="spellEnd"/>
      <w:r w:rsidRPr="0048326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8326B">
        <w:rPr>
          <w:rFonts w:ascii="Arial" w:hAnsi="Arial" w:cs="Arial"/>
          <w:b/>
          <w:sz w:val="28"/>
          <w:szCs w:val="28"/>
          <w:u w:val="single"/>
        </w:rPr>
        <w:t>și</w:t>
      </w:r>
      <w:proofErr w:type="spellEnd"/>
      <w:r w:rsidRPr="0048326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8326B">
        <w:rPr>
          <w:rFonts w:ascii="Arial" w:hAnsi="Arial" w:cs="Arial"/>
          <w:b/>
          <w:sz w:val="28"/>
          <w:szCs w:val="28"/>
          <w:u w:val="single"/>
        </w:rPr>
        <w:t>contencios</w:t>
      </w:r>
      <w:proofErr w:type="spellEnd"/>
      <w:r w:rsidRPr="0048326B">
        <w:rPr>
          <w:rFonts w:ascii="Arial" w:hAnsi="Arial" w:cs="Arial"/>
          <w:b/>
          <w:sz w:val="28"/>
          <w:szCs w:val="28"/>
          <w:u w:val="single"/>
        </w:rPr>
        <w:t xml:space="preserve"> electoral</w:t>
      </w:r>
    </w:p>
    <w:p w:rsidR="0048326B" w:rsidRPr="0048326B" w:rsidRDefault="0048326B" w:rsidP="0048326B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Pr="0048326B" w:rsidRDefault="0048326B" w:rsidP="0048326B">
      <w:pPr>
        <w:jc w:val="center"/>
        <w:rPr>
          <w:rFonts w:ascii="Arial" w:hAnsi="Arial" w:cs="Arial"/>
          <w:b/>
          <w:sz w:val="28"/>
          <w:szCs w:val="28"/>
        </w:rPr>
      </w:pPr>
      <w:r w:rsidRPr="0048326B">
        <w:rPr>
          <w:rFonts w:ascii="Arial" w:hAnsi="Arial" w:cs="Arial"/>
          <w:b/>
          <w:sz w:val="28"/>
          <w:szCs w:val="28"/>
        </w:rPr>
        <w:t>TEMATICĂ</w:t>
      </w:r>
    </w:p>
    <w:p w:rsidR="0048326B" w:rsidRPr="0048326B" w:rsidRDefault="0048326B" w:rsidP="0048326B">
      <w:pPr>
        <w:jc w:val="both"/>
        <w:rPr>
          <w:rFonts w:ascii="Arial" w:hAnsi="Arial" w:cs="Arial"/>
          <w:sz w:val="28"/>
          <w:szCs w:val="28"/>
        </w:rPr>
      </w:pPr>
    </w:p>
    <w:p w:rsidR="0048326B" w:rsidRPr="0048326B" w:rsidRDefault="0048326B" w:rsidP="0048326B">
      <w:pPr>
        <w:pStyle w:val="ListParagraph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Standarde internaționale și europene în materie electorală;</w:t>
      </w:r>
    </w:p>
    <w:p w:rsidR="0048326B" w:rsidRPr="0048326B" w:rsidRDefault="0048326B" w:rsidP="0048326B">
      <w:pPr>
        <w:pStyle w:val="ListParagraph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Elaborarea actelor normative;</w:t>
      </w:r>
    </w:p>
    <w:p w:rsidR="0048326B" w:rsidRPr="0048326B" w:rsidRDefault="0048326B" w:rsidP="0048326B">
      <w:pPr>
        <w:pStyle w:val="ListParagraph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Drepturile electorale în jurisprudența Curții Constituționale;</w:t>
      </w:r>
    </w:p>
    <w:p w:rsidR="0048326B" w:rsidRPr="0048326B" w:rsidRDefault="0048326B" w:rsidP="0048326B">
      <w:pPr>
        <w:pStyle w:val="ListParagraph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Regimul juridic al proceselor electorale;</w:t>
      </w:r>
    </w:p>
    <w:p w:rsidR="0048326B" w:rsidRPr="0048326B" w:rsidRDefault="0048326B" w:rsidP="0048326B">
      <w:pPr>
        <w:pStyle w:val="ListParagraph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Contenciosul electoral;</w:t>
      </w:r>
    </w:p>
    <w:p w:rsidR="0048326B" w:rsidRPr="0048326B" w:rsidRDefault="0048326B" w:rsidP="0048326B">
      <w:pPr>
        <w:pStyle w:val="ListParagraph"/>
        <w:numPr>
          <w:ilvl w:val="0"/>
          <w:numId w:val="4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 xml:space="preserve">Organizarea și funcționarea Autorității Electorale Permanente; </w:t>
      </w:r>
    </w:p>
    <w:p w:rsidR="0048326B" w:rsidRPr="0048326B" w:rsidRDefault="0048326B" w:rsidP="0048326B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48326B" w:rsidRPr="0048326B" w:rsidRDefault="0048326B" w:rsidP="0048326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48326B" w:rsidRPr="0048326B" w:rsidRDefault="0048326B" w:rsidP="0048326B">
      <w:pPr>
        <w:jc w:val="both"/>
        <w:rPr>
          <w:rFonts w:ascii="Arial" w:hAnsi="Arial" w:cs="Arial"/>
          <w:b/>
          <w:sz w:val="28"/>
          <w:szCs w:val="28"/>
        </w:rPr>
      </w:pPr>
      <w:r w:rsidRPr="0048326B">
        <w:rPr>
          <w:rFonts w:ascii="Arial" w:hAnsi="Arial" w:cs="Arial"/>
          <w:b/>
          <w:sz w:val="28"/>
          <w:szCs w:val="28"/>
        </w:rPr>
        <w:t xml:space="preserve"> </w:t>
      </w:r>
    </w:p>
    <w:p w:rsidR="0048326B" w:rsidRDefault="0048326B" w:rsidP="0048326B">
      <w:pPr>
        <w:jc w:val="center"/>
        <w:rPr>
          <w:rFonts w:ascii="Arial" w:hAnsi="Arial" w:cs="Arial"/>
          <w:b/>
          <w:sz w:val="28"/>
          <w:szCs w:val="28"/>
        </w:rPr>
      </w:pPr>
      <w:r w:rsidRPr="0048326B">
        <w:rPr>
          <w:rFonts w:ascii="Arial" w:hAnsi="Arial" w:cs="Arial"/>
          <w:b/>
          <w:sz w:val="28"/>
          <w:szCs w:val="28"/>
        </w:rPr>
        <w:t>BIBLIOGRAFIE</w:t>
      </w:r>
    </w:p>
    <w:p w:rsidR="0048326B" w:rsidRPr="0048326B" w:rsidRDefault="0048326B" w:rsidP="0048326B">
      <w:pPr>
        <w:jc w:val="center"/>
        <w:rPr>
          <w:rFonts w:ascii="Arial" w:hAnsi="Arial" w:cs="Arial"/>
          <w:b/>
          <w:sz w:val="28"/>
          <w:szCs w:val="28"/>
        </w:rPr>
      </w:pPr>
    </w:p>
    <w:p w:rsidR="0048326B" w:rsidRPr="0048326B" w:rsidRDefault="0048326B" w:rsidP="0048326B">
      <w:pPr>
        <w:pStyle w:val="ListParagraph"/>
        <w:numPr>
          <w:ilvl w:val="0"/>
          <w:numId w:val="46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locali, cu modificările și completările ulterioare;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Legea nr. 370/2004 pentru alegerea Preşedintelui României, republicată, cu modificările și completările ulterioare;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spacing w:after="200"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 xml:space="preserve">Legea nr. 33/2007 privind organizarea şi desfăşurarea alegerilor pentru Parlamentul European, republicată, cu modificările și completările ulterioare; 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spacing w:after="200"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 xml:space="preserve">Legea nr. 67/2004 pentru alegerea autorităţilor administraţiei publice locale, republicată, cu modificările și completările ulterioare; 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spacing w:after="200"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Legea nr. 3/2000 privind organizarea şi desfăşurarea referendumului, cu modificările și completările ulterioare;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Hotărârea birourilor permanente ale Camerei Deputaților și Senatului nr. 2/2007 privind aprobarea Regulamentului de organizare şi funcţionare a Autorităţii Electorale Permanente, cu modificările și completările ulterioare;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European Commission - Compendium of International Standards for Elections p. 1-68; p. 97 – 121; p. 143 – 166; (</w:t>
      </w:r>
      <w:r w:rsidRPr="0048326B">
        <w:fldChar w:fldCharType="begin"/>
      </w:r>
      <w:r w:rsidRPr="0048326B">
        <w:rPr>
          <w:rFonts w:ascii="Arial" w:hAnsi="Arial" w:cs="Arial"/>
          <w:sz w:val="28"/>
          <w:szCs w:val="28"/>
        </w:rPr>
        <w:instrText xml:space="preserve"> HYPERLINK "http://www.eueom.eu/files/dmfile/compendium-of-int-standards-for-elections_en.pdf" </w:instrText>
      </w:r>
      <w:r w:rsidRPr="0048326B">
        <w:fldChar w:fldCharType="separate"/>
      </w:r>
      <w:r w:rsidRPr="0048326B">
        <w:rPr>
          <w:rStyle w:val="Hyperlink"/>
          <w:rFonts w:ascii="Arial" w:hAnsi="Arial" w:cs="Arial"/>
          <w:sz w:val="28"/>
          <w:szCs w:val="28"/>
          <w:lang w:val="ro-RO"/>
        </w:rPr>
        <w:t>http://www.eueom.eu/files/dmfile/compendium-of-int-standards-for-elections_en.pdf</w:t>
      </w:r>
      <w:r w:rsidRPr="0048326B">
        <w:rPr>
          <w:rStyle w:val="Hyperlink"/>
          <w:rFonts w:ascii="Arial" w:hAnsi="Arial" w:cs="Arial"/>
          <w:sz w:val="28"/>
          <w:szCs w:val="28"/>
          <w:lang w:val="ro-RO"/>
        </w:rPr>
        <w:fldChar w:fldCharType="end"/>
      </w:r>
      <w:r w:rsidRPr="0048326B">
        <w:rPr>
          <w:rFonts w:ascii="Arial" w:hAnsi="Arial" w:cs="Arial"/>
          <w:sz w:val="28"/>
          <w:szCs w:val="28"/>
          <w:lang w:val="ro-RO"/>
        </w:rPr>
        <w:t>)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lastRenderedPageBreak/>
        <w:t>Legea nr. 24/2000 privind normele de tehnică legislativă pentru elaborarea actelor normative, republicată, cu modificările și completările ulterioare;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8326B">
        <w:rPr>
          <w:rFonts w:ascii="Arial" w:hAnsi="Arial" w:cs="Arial"/>
          <w:sz w:val="28"/>
          <w:szCs w:val="28"/>
          <w:lang w:val="ro-RO"/>
        </w:rPr>
        <w:t>Autoritatea Electorală Permanentă - Decizii şi hotărâri ale  Curţii Constituţionale  în materie electorală  1990 - 2013 (</w:t>
      </w:r>
      <w:r w:rsidRPr="0048326B">
        <w:fldChar w:fldCharType="begin"/>
      </w:r>
      <w:r w:rsidRPr="0048326B">
        <w:rPr>
          <w:rFonts w:ascii="Arial" w:hAnsi="Arial" w:cs="Arial"/>
          <w:sz w:val="28"/>
          <w:szCs w:val="28"/>
        </w:rPr>
        <w:instrText xml:space="preserve"> HYPERLINK "http://www.roaep.ro/legislatie/wp-content/uploads/2013/03/culegere-Decizii-CC-20131.pdf" </w:instrText>
      </w:r>
      <w:r w:rsidRPr="0048326B">
        <w:fldChar w:fldCharType="separate"/>
      </w:r>
      <w:r w:rsidRPr="0048326B">
        <w:rPr>
          <w:rStyle w:val="Hyperlink"/>
          <w:rFonts w:ascii="Arial" w:hAnsi="Arial" w:cs="Arial"/>
          <w:sz w:val="28"/>
          <w:szCs w:val="28"/>
          <w:lang w:val="ro-RO"/>
        </w:rPr>
        <w:t>http://www.roaep.ro/legislatie/wp-content/uploads/2013/03/culegere-Decizii-CC-20131.pdf</w:t>
      </w:r>
      <w:r w:rsidRPr="0048326B">
        <w:rPr>
          <w:rStyle w:val="Hyperlink"/>
          <w:rFonts w:ascii="Arial" w:hAnsi="Arial" w:cs="Arial"/>
          <w:sz w:val="28"/>
          <w:szCs w:val="28"/>
          <w:lang w:val="ro-RO"/>
        </w:rPr>
        <w:fldChar w:fldCharType="end"/>
      </w:r>
      <w:r w:rsidRPr="0048326B">
        <w:rPr>
          <w:rFonts w:ascii="Arial" w:hAnsi="Arial" w:cs="Arial"/>
          <w:sz w:val="28"/>
          <w:szCs w:val="28"/>
          <w:lang w:val="ro-RO"/>
        </w:rPr>
        <w:t>)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48326B">
        <w:rPr>
          <w:rFonts w:ascii="Arial" w:hAnsi="Arial" w:cs="Arial"/>
          <w:sz w:val="28"/>
          <w:szCs w:val="28"/>
          <w:lang w:val="ro-RO"/>
        </w:rPr>
        <w:t>Legea contenciosului administrativ nr. 554/2004, cu modificările și completările ulterioare;</w:t>
      </w:r>
    </w:p>
    <w:p w:rsidR="0048326B" w:rsidRPr="0048326B" w:rsidRDefault="0048326B" w:rsidP="0048326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8326B">
        <w:rPr>
          <w:rFonts w:ascii="Arial" w:hAnsi="Arial" w:cs="Arial"/>
          <w:sz w:val="28"/>
          <w:szCs w:val="28"/>
          <w:lang w:val="ro-RO"/>
        </w:rPr>
        <w:t>Art. 996-</w:t>
      </w:r>
      <w:r w:rsidR="00F43079">
        <w:rPr>
          <w:rFonts w:ascii="Arial" w:hAnsi="Arial" w:cs="Arial"/>
          <w:sz w:val="28"/>
          <w:szCs w:val="28"/>
          <w:lang w:val="ro-RO"/>
        </w:rPr>
        <w:t>1</w:t>
      </w:r>
      <w:bookmarkStart w:id="0" w:name="_GoBack"/>
      <w:bookmarkEnd w:id="0"/>
      <w:r w:rsidRPr="0048326B">
        <w:rPr>
          <w:rFonts w:ascii="Arial" w:hAnsi="Arial" w:cs="Arial"/>
          <w:sz w:val="28"/>
          <w:szCs w:val="28"/>
          <w:lang w:val="ro-RO"/>
        </w:rPr>
        <w:t>001 din Legea nr. 134/2010 privind Codul de procedură civilă, republicată, cu modificările și completările ulterioare.</w:t>
      </w:r>
    </w:p>
    <w:p w:rsidR="0048326B" w:rsidRP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Pr="0048326B" w:rsidRDefault="0048326B" w:rsidP="0048326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  <w:r w:rsidRPr="0048326B">
        <w:rPr>
          <w:rFonts w:ascii="Arial" w:hAnsi="Arial" w:cs="Arial"/>
          <w:b/>
          <w:sz w:val="28"/>
          <w:szCs w:val="28"/>
          <w:u w:val="thick"/>
          <w:lang w:val="ro-RO"/>
        </w:rPr>
        <w:t>BIROURI JUDEŢENE</w:t>
      </w:r>
    </w:p>
    <w:p w:rsid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945B8" w:rsidRPr="0048326B" w:rsidRDefault="0048326B" w:rsidP="006A1FAF">
      <w:pPr>
        <w:jc w:val="both"/>
        <w:rPr>
          <w:rFonts w:ascii="Arial" w:hAnsi="Arial" w:cs="Arial"/>
          <w:b/>
          <w:sz w:val="28"/>
          <w:szCs w:val="28"/>
          <w:u w:val="double"/>
          <w:lang w:val="ro-RO"/>
        </w:rPr>
      </w:pPr>
      <w:r w:rsidRPr="0048326B">
        <w:rPr>
          <w:rFonts w:ascii="Arial" w:hAnsi="Arial" w:cs="Arial"/>
          <w:b/>
          <w:sz w:val="28"/>
          <w:szCs w:val="28"/>
          <w:u w:val="double"/>
          <w:lang w:val="ro-RO"/>
        </w:rPr>
        <w:t>EXPERT</w:t>
      </w:r>
      <w:r w:rsidR="006A1FAF" w:rsidRPr="0048326B">
        <w:rPr>
          <w:rFonts w:ascii="Arial" w:hAnsi="Arial" w:cs="Arial"/>
          <w:b/>
          <w:sz w:val="28"/>
          <w:szCs w:val="28"/>
          <w:u w:val="double"/>
          <w:lang w:val="ro-RO"/>
        </w:rPr>
        <w:t xml:space="preserve"> </w:t>
      </w:r>
      <w:r w:rsidR="00C05BDE" w:rsidRPr="0048326B">
        <w:rPr>
          <w:rFonts w:ascii="Arial" w:hAnsi="Arial" w:cs="Arial"/>
          <w:b/>
          <w:sz w:val="28"/>
          <w:szCs w:val="28"/>
          <w:u w:val="double"/>
          <w:lang w:val="ro-RO"/>
        </w:rPr>
        <w:t xml:space="preserve"> P</w:t>
      </w:r>
      <w:r w:rsidR="006A1FAF" w:rsidRPr="0048326B">
        <w:rPr>
          <w:rFonts w:ascii="Arial" w:hAnsi="Arial" w:cs="Arial"/>
          <w:b/>
          <w:sz w:val="28"/>
          <w:szCs w:val="28"/>
          <w:u w:val="double"/>
          <w:lang w:val="ro-RO"/>
        </w:rPr>
        <w:t>ARLAMENTAR</w:t>
      </w:r>
    </w:p>
    <w:p w:rsidR="00C460BA" w:rsidRDefault="00C460BA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 w:rsidR="00C460BA"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C460BA" w:rsidRPr="00725278" w:rsidRDefault="00C460BA" w:rsidP="000511BC">
      <w:pPr>
        <w:jc w:val="both"/>
        <w:rPr>
          <w:rFonts w:ascii="Arial" w:hAnsi="Arial" w:cs="Arial"/>
          <w:lang w:val="ro-RO"/>
        </w:rPr>
      </w:pPr>
    </w:p>
    <w:p w:rsidR="0048326B" w:rsidRDefault="0048326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6A1FAF">
        <w:rPr>
          <w:rFonts w:ascii="Arial" w:hAnsi="Arial" w:cs="Arial"/>
          <w:sz w:val="28"/>
          <w:szCs w:val="28"/>
          <w:lang w:val="ro-RO"/>
        </w:rPr>
        <w:t>în România</w:t>
      </w:r>
    </w:p>
    <w:p w:rsid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6A1FAF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48326B" w:rsidRPr="00C460BA" w:rsidRDefault="0048326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Autorităţile administraţiei publice locale şi aleşii locali</w:t>
      </w:r>
    </w:p>
    <w:p w:rsidR="009B54B4" w:rsidRDefault="009B54B4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6A1FAF" w:rsidRDefault="006A1FAF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F5291B" w:rsidRPr="00C460BA" w:rsidRDefault="0048326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Registrul electoral şi listele electorale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Pr="00832816" w:rsidRDefault="00C460BA" w:rsidP="00C460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A436B0" w:rsidRPr="00204AD1" w:rsidRDefault="00A436B0" w:rsidP="0020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6A18B9" w:rsidRPr="00AC04F5" w:rsidRDefault="006A18B9" w:rsidP="006A1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lastRenderedPageBreak/>
        <w:t>Legea nr. 370/2004 pentru alegerea Preşedintelui României;</w:t>
      </w:r>
    </w:p>
    <w:p w:rsidR="006A18B9" w:rsidRPr="00623C47" w:rsidRDefault="006A18B9" w:rsidP="006A1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6A18B9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6A18B9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6A18B9" w:rsidRPr="00A86E6D" w:rsidRDefault="006A18B9" w:rsidP="006A18B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6A18B9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6A18B9" w:rsidRPr="006A18B9" w:rsidRDefault="006A18B9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Legea nr. 393/2004 privind </w:t>
      </w:r>
      <w:r w:rsidR="00705508">
        <w:rPr>
          <w:rFonts w:ascii="Arial" w:hAnsi="Arial" w:cs="Arial"/>
          <w:sz w:val="28"/>
          <w:szCs w:val="28"/>
          <w:lang w:val="ro-RO"/>
        </w:rPr>
        <w:t>S</w:t>
      </w:r>
      <w:r>
        <w:rPr>
          <w:rFonts w:ascii="Arial" w:hAnsi="Arial" w:cs="Arial"/>
          <w:sz w:val="28"/>
          <w:szCs w:val="28"/>
          <w:lang w:val="ro-RO"/>
        </w:rPr>
        <w:t>tatutul aleşilor locali;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Ordonanţa Guvernului nr.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2</w:t>
      </w:r>
      <w:r w:rsidRPr="00BC7EF0">
        <w:rPr>
          <w:rFonts w:ascii="Arial" w:hAnsi="Arial" w:cs="Arial"/>
          <w:sz w:val="28"/>
          <w:szCs w:val="28"/>
          <w:lang w:val="ro-RO"/>
        </w:rPr>
        <w:t xml:space="preserve">/2001 privind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regimul juridic al contravenţiilor, aprobată cu modificări prin Legea nr. 180/2002</w:t>
      </w:r>
      <w:r w:rsidRPr="00BC7EF0">
        <w:rPr>
          <w:rFonts w:ascii="Arial" w:hAnsi="Arial" w:cs="Arial"/>
          <w:sz w:val="28"/>
          <w:szCs w:val="28"/>
          <w:lang w:val="ro-RO"/>
        </w:rPr>
        <w:t>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B54B4" w:rsidRPr="00BC7EF0" w:rsidRDefault="009B54B4" w:rsidP="009B54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polit</w:t>
      </w:r>
      <w:r w:rsidR="00705508">
        <w:rPr>
          <w:rFonts w:ascii="Arial" w:eastAsiaTheme="minorHAnsi" w:hAnsi="Arial" w:cs="Arial"/>
          <w:sz w:val="28"/>
          <w:szCs w:val="28"/>
        </w:rPr>
        <w:t>ice</w:t>
      </w:r>
      <w:proofErr w:type="spellEnd"/>
      <w:r w:rsidR="00705508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705508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="00705508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="00705508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="00705508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705508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="00705508">
        <w:rPr>
          <w:rFonts w:ascii="Arial" w:eastAsiaTheme="minorHAnsi" w:hAnsi="Arial" w:cs="Arial"/>
          <w:sz w:val="28"/>
          <w:szCs w:val="28"/>
        </w:rPr>
        <w:t>.</w:t>
      </w:r>
    </w:p>
    <w:p w:rsidR="00623C47" w:rsidRDefault="00623C47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F07DF" w:rsidRDefault="0020342B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9B54B4">
        <w:rPr>
          <w:rFonts w:ascii="Arial" w:hAnsi="Arial" w:cs="Arial"/>
          <w:sz w:val="28"/>
          <w:szCs w:val="28"/>
        </w:rPr>
        <w:t>enţionate</w:t>
      </w:r>
      <w:proofErr w:type="spellEnd"/>
      <w:proofErr w:type="gramEnd"/>
      <w:r w:rsidR="009B54B4">
        <w:rPr>
          <w:rFonts w:ascii="Arial" w:hAnsi="Arial" w:cs="Arial"/>
          <w:sz w:val="28"/>
          <w:szCs w:val="28"/>
        </w:rPr>
        <w:t>.</w:t>
      </w:r>
    </w:p>
    <w:p w:rsidR="00623C47" w:rsidRDefault="00623C47" w:rsidP="0049120C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05508" w:rsidRDefault="00705508" w:rsidP="0049120C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05508" w:rsidRDefault="00705508" w:rsidP="0049120C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9120C" w:rsidRPr="00705508" w:rsidRDefault="00705508" w:rsidP="0049120C">
      <w:pPr>
        <w:jc w:val="both"/>
        <w:rPr>
          <w:rFonts w:ascii="Arial" w:hAnsi="Arial" w:cs="Arial"/>
          <w:b/>
          <w:sz w:val="28"/>
          <w:szCs w:val="28"/>
          <w:u w:val="double"/>
          <w:lang w:val="ro-RO"/>
        </w:rPr>
      </w:pPr>
      <w:r w:rsidRPr="00705508">
        <w:rPr>
          <w:rFonts w:ascii="Arial" w:hAnsi="Arial" w:cs="Arial"/>
          <w:b/>
          <w:sz w:val="28"/>
          <w:szCs w:val="28"/>
          <w:u w:val="double"/>
          <w:lang w:val="ro-RO"/>
        </w:rPr>
        <w:t>CONSILIER</w:t>
      </w:r>
      <w:r w:rsidR="0049120C" w:rsidRPr="00705508">
        <w:rPr>
          <w:rFonts w:ascii="Arial" w:hAnsi="Arial" w:cs="Arial"/>
          <w:b/>
          <w:sz w:val="28"/>
          <w:szCs w:val="28"/>
          <w:u w:val="double"/>
          <w:lang w:val="ro-RO"/>
        </w:rPr>
        <w:t xml:space="preserve">  PARLAMENTAR</w:t>
      </w: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05508" w:rsidRPr="00832816" w:rsidRDefault="00705508" w:rsidP="0070550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705508" w:rsidRPr="00725278" w:rsidRDefault="00705508" w:rsidP="00705508">
      <w:pPr>
        <w:jc w:val="both"/>
        <w:rPr>
          <w:rFonts w:ascii="Arial" w:hAnsi="Arial" w:cs="Arial"/>
          <w:lang w:val="ro-RO"/>
        </w:rPr>
      </w:pPr>
    </w:p>
    <w:p w:rsidR="00705508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705508" w:rsidRPr="00C460BA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705508" w:rsidRPr="00C460BA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>
        <w:rPr>
          <w:rFonts w:ascii="Arial" w:hAnsi="Arial" w:cs="Arial"/>
          <w:sz w:val="28"/>
          <w:szCs w:val="28"/>
          <w:lang w:val="ro-RO"/>
        </w:rPr>
        <w:t>în România</w:t>
      </w:r>
    </w:p>
    <w:p w:rsidR="00705508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705508" w:rsidRPr="00C460BA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Autorităţile administraţiei publice locale şi aleşii locali</w:t>
      </w:r>
    </w:p>
    <w:p w:rsidR="00705508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705508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Drepturile, obligaţiile şi răspunderea disciplinară a funcţionarului public parlamentar</w:t>
      </w:r>
    </w:p>
    <w:p w:rsidR="00705508" w:rsidRPr="00C460BA" w:rsidRDefault="00705508" w:rsidP="007055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Registrul electoral şi listele electorale</w:t>
      </w:r>
    </w:p>
    <w:p w:rsidR="00705508" w:rsidRPr="00725278" w:rsidRDefault="00705508" w:rsidP="00705508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705508" w:rsidRDefault="00705508" w:rsidP="00705508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705508" w:rsidRPr="00832816" w:rsidRDefault="00705508" w:rsidP="0070550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705508" w:rsidRPr="00204AD1" w:rsidRDefault="00705508" w:rsidP="0070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508" w:rsidRPr="00BC7EF0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705508" w:rsidRPr="00BC7EF0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lastRenderedPageBreak/>
        <w:t>Legea nr. 7/2006 privind statutul funcţionarului public parlamentar;</w:t>
      </w:r>
    </w:p>
    <w:p w:rsidR="00705508" w:rsidRPr="00BC7EF0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705508" w:rsidRPr="00AC04F5" w:rsidRDefault="00705508" w:rsidP="007055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705508" w:rsidRPr="00623C47" w:rsidRDefault="00705508" w:rsidP="007055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705508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6A18B9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705508" w:rsidRPr="00A86E6D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705508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6A18B9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705508" w:rsidRPr="006A18B9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Legea nr. 393/2004 privind Statutul aleşilor locali;</w:t>
      </w:r>
    </w:p>
    <w:p w:rsidR="00705508" w:rsidRPr="00BC7EF0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705508" w:rsidRPr="00BC7EF0" w:rsidRDefault="00705508" w:rsidP="0070550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705508" w:rsidRPr="00BC7EF0" w:rsidRDefault="00705508" w:rsidP="0070550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polit</w:t>
      </w:r>
      <w:r>
        <w:rPr>
          <w:rFonts w:ascii="Arial" w:eastAsiaTheme="minorHAnsi" w:hAnsi="Arial" w:cs="Arial"/>
          <w:sz w:val="28"/>
          <w:szCs w:val="28"/>
        </w:rPr>
        <w:t>ice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şi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</w:p>
    <w:p w:rsidR="00705508" w:rsidRDefault="00705508" w:rsidP="00705508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705508" w:rsidRDefault="00705508" w:rsidP="00705508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menţionate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0A64D1" w:rsidRPr="000A64D1" w:rsidRDefault="000A64D1" w:rsidP="00AC04F5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>” se găseşte pe site-ul Autorităţii Electorale Permanente</w:t>
      </w:r>
      <w:r w:rsidR="00AC04F5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</w:t>
      </w:r>
      <w:r w:rsidR="00AC04F5">
        <w:rPr>
          <w:rFonts w:ascii="Arial" w:hAnsi="Arial" w:cs="Arial"/>
          <w:sz w:val="28"/>
          <w:szCs w:val="28"/>
          <w:lang w:val="ro-RO"/>
        </w:rPr>
        <w:t>E</w:t>
      </w:r>
      <w:r>
        <w:rPr>
          <w:rFonts w:ascii="Arial" w:hAnsi="Arial" w:cs="Arial"/>
          <w:sz w:val="28"/>
          <w:szCs w:val="28"/>
          <w:lang w:val="ro-RO"/>
        </w:rPr>
        <w:t>lectorală</w:t>
      </w:r>
      <w:r w:rsidR="00AC04F5">
        <w:rPr>
          <w:rFonts w:ascii="Arial" w:hAnsi="Arial" w:cs="Arial"/>
          <w:sz w:val="28"/>
          <w:szCs w:val="28"/>
          <w:lang w:val="ro-RO"/>
        </w:rPr>
        <w:t xml:space="preserve"> – Accesează site – LEGISLAŢIE ELECTORALĂ – INSTRUMENTE JURIDICE COMUNITARE ŞI INTERNAŢIONALE. </w:t>
      </w:r>
    </w:p>
    <w:p w:rsidR="000A64D1" w:rsidRP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0A64D1" w:rsidRPr="000A64D1" w:rsidSect="00623C4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42ECE"/>
    <w:multiLevelType w:val="hybridMultilevel"/>
    <w:tmpl w:val="1740466A"/>
    <w:lvl w:ilvl="0" w:tplc="A1801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4388C"/>
    <w:multiLevelType w:val="hybridMultilevel"/>
    <w:tmpl w:val="061C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011" w:hanging="360"/>
      </w:pPr>
    </w:lvl>
    <w:lvl w:ilvl="2" w:tplc="0418001B" w:tentative="1">
      <w:start w:val="1"/>
      <w:numFmt w:val="lowerRoman"/>
      <w:lvlText w:val="%3."/>
      <w:lvlJc w:val="right"/>
      <w:pPr>
        <w:ind w:left="10731" w:hanging="180"/>
      </w:pPr>
    </w:lvl>
    <w:lvl w:ilvl="3" w:tplc="0418000F" w:tentative="1">
      <w:start w:val="1"/>
      <w:numFmt w:val="decimal"/>
      <w:lvlText w:val="%4."/>
      <w:lvlJc w:val="left"/>
      <w:pPr>
        <w:ind w:left="11451" w:hanging="360"/>
      </w:pPr>
    </w:lvl>
    <w:lvl w:ilvl="4" w:tplc="04180019" w:tentative="1">
      <w:start w:val="1"/>
      <w:numFmt w:val="lowerLetter"/>
      <w:lvlText w:val="%5."/>
      <w:lvlJc w:val="left"/>
      <w:pPr>
        <w:ind w:left="12171" w:hanging="360"/>
      </w:pPr>
    </w:lvl>
    <w:lvl w:ilvl="5" w:tplc="0418001B" w:tentative="1">
      <w:start w:val="1"/>
      <w:numFmt w:val="lowerRoman"/>
      <w:lvlText w:val="%6."/>
      <w:lvlJc w:val="right"/>
      <w:pPr>
        <w:ind w:left="12891" w:hanging="180"/>
      </w:pPr>
    </w:lvl>
    <w:lvl w:ilvl="6" w:tplc="0418000F" w:tentative="1">
      <w:start w:val="1"/>
      <w:numFmt w:val="decimal"/>
      <w:lvlText w:val="%7."/>
      <w:lvlJc w:val="left"/>
      <w:pPr>
        <w:ind w:left="13611" w:hanging="360"/>
      </w:pPr>
    </w:lvl>
    <w:lvl w:ilvl="7" w:tplc="04180019" w:tentative="1">
      <w:start w:val="1"/>
      <w:numFmt w:val="lowerLetter"/>
      <w:lvlText w:val="%8."/>
      <w:lvlJc w:val="left"/>
      <w:pPr>
        <w:ind w:left="14331" w:hanging="360"/>
      </w:pPr>
    </w:lvl>
    <w:lvl w:ilvl="8" w:tplc="0418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5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2D2F22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73AE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415037"/>
    <w:multiLevelType w:val="hybridMultilevel"/>
    <w:tmpl w:val="489E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8"/>
  </w:num>
  <w:num w:numId="5">
    <w:abstractNumId w:val="32"/>
  </w:num>
  <w:num w:numId="6">
    <w:abstractNumId w:val="42"/>
  </w:num>
  <w:num w:numId="7">
    <w:abstractNumId w:val="22"/>
  </w:num>
  <w:num w:numId="8">
    <w:abstractNumId w:val="14"/>
  </w:num>
  <w:num w:numId="9">
    <w:abstractNumId w:val="16"/>
  </w:num>
  <w:num w:numId="10">
    <w:abstractNumId w:val="43"/>
  </w:num>
  <w:num w:numId="11">
    <w:abstractNumId w:val="31"/>
  </w:num>
  <w:num w:numId="12">
    <w:abstractNumId w:val="18"/>
  </w:num>
  <w:num w:numId="13">
    <w:abstractNumId w:val="37"/>
  </w:num>
  <w:num w:numId="14">
    <w:abstractNumId w:val="29"/>
  </w:num>
  <w:num w:numId="15">
    <w:abstractNumId w:val="17"/>
  </w:num>
  <w:num w:numId="16">
    <w:abstractNumId w:val="45"/>
  </w:num>
  <w:num w:numId="17">
    <w:abstractNumId w:val="46"/>
  </w:num>
  <w:num w:numId="18">
    <w:abstractNumId w:val="35"/>
  </w:num>
  <w:num w:numId="19">
    <w:abstractNumId w:val="38"/>
  </w:num>
  <w:num w:numId="20">
    <w:abstractNumId w:val="44"/>
  </w:num>
  <w:num w:numId="21">
    <w:abstractNumId w:val="41"/>
  </w:num>
  <w:num w:numId="22">
    <w:abstractNumId w:val="6"/>
  </w:num>
  <w:num w:numId="23">
    <w:abstractNumId w:val="0"/>
  </w:num>
  <w:num w:numId="24">
    <w:abstractNumId w:val="34"/>
  </w:num>
  <w:num w:numId="25">
    <w:abstractNumId w:val="1"/>
  </w:num>
  <w:num w:numId="26">
    <w:abstractNumId w:val="12"/>
  </w:num>
  <w:num w:numId="27">
    <w:abstractNumId w:val="15"/>
  </w:num>
  <w:num w:numId="28">
    <w:abstractNumId w:val="40"/>
  </w:num>
  <w:num w:numId="29">
    <w:abstractNumId w:val="9"/>
  </w:num>
  <w:num w:numId="30">
    <w:abstractNumId w:val="33"/>
  </w:num>
  <w:num w:numId="31">
    <w:abstractNumId w:val="39"/>
  </w:num>
  <w:num w:numId="32">
    <w:abstractNumId w:val="25"/>
  </w:num>
  <w:num w:numId="33">
    <w:abstractNumId w:val="30"/>
  </w:num>
  <w:num w:numId="34">
    <w:abstractNumId w:val="24"/>
  </w:num>
  <w:num w:numId="35">
    <w:abstractNumId w:val="11"/>
  </w:num>
  <w:num w:numId="36">
    <w:abstractNumId w:val="26"/>
  </w:num>
  <w:num w:numId="37">
    <w:abstractNumId w:val="27"/>
  </w:num>
  <w:num w:numId="38">
    <w:abstractNumId w:val="7"/>
  </w:num>
  <w:num w:numId="39">
    <w:abstractNumId w:val="10"/>
  </w:num>
  <w:num w:numId="40">
    <w:abstractNumId w:val="3"/>
  </w:num>
  <w:num w:numId="41">
    <w:abstractNumId w:val="4"/>
  </w:num>
  <w:num w:numId="42">
    <w:abstractNumId w:val="21"/>
  </w:num>
  <w:num w:numId="43">
    <w:abstractNumId w:val="28"/>
  </w:num>
  <w:num w:numId="44">
    <w:abstractNumId w:val="2"/>
  </w:num>
  <w:num w:numId="45">
    <w:abstractNumId w:val="36"/>
  </w:num>
  <w:num w:numId="46">
    <w:abstractNumId w:val="1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8326B"/>
    <w:rsid w:val="0049120C"/>
    <w:rsid w:val="004C1FA5"/>
    <w:rsid w:val="004C65F3"/>
    <w:rsid w:val="00524911"/>
    <w:rsid w:val="00551FD5"/>
    <w:rsid w:val="00555509"/>
    <w:rsid w:val="005A26EA"/>
    <w:rsid w:val="00600105"/>
    <w:rsid w:val="00623C47"/>
    <w:rsid w:val="006A18B9"/>
    <w:rsid w:val="006A1FAF"/>
    <w:rsid w:val="00705508"/>
    <w:rsid w:val="00725278"/>
    <w:rsid w:val="00807899"/>
    <w:rsid w:val="00832816"/>
    <w:rsid w:val="00840EE9"/>
    <w:rsid w:val="00873E75"/>
    <w:rsid w:val="008E77D3"/>
    <w:rsid w:val="0093657E"/>
    <w:rsid w:val="00950D2E"/>
    <w:rsid w:val="009B54B4"/>
    <w:rsid w:val="009C01F2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D17894"/>
    <w:rsid w:val="00D30A2B"/>
    <w:rsid w:val="00D3426F"/>
    <w:rsid w:val="00DE2F83"/>
    <w:rsid w:val="00E13848"/>
    <w:rsid w:val="00E13F77"/>
    <w:rsid w:val="00E5771B"/>
    <w:rsid w:val="00EB7DD0"/>
    <w:rsid w:val="00F33953"/>
    <w:rsid w:val="00F43079"/>
    <w:rsid w:val="00F5291B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15</cp:revision>
  <cp:lastPrinted>2014-04-25T12:02:00Z</cp:lastPrinted>
  <dcterms:created xsi:type="dcterms:W3CDTF">2014-04-25T10:53:00Z</dcterms:created>
  <dcterms:modified xsi:type="dcterms:W3CDTF">2014-07-18T10:09:00Z</dcterms:modified>
</cp:coreProperties>
</file>